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6EBF5034" w:rsidR="0075093F" w:rsidRPr="00DB645C" w:rsidRDefault="0075093F" w:rsidP="0075093F">
      <w:pPr>
        <w:tabs>
          <w:tab w:val="right" w:pos="9072"/>
        </w:tabs>
        <w:rPr>
          <w:b/>
          <w:bCs/>
          <w:sz w:val="22"/>
          <w:szCs w:val="22"/>
          <w:lang w:val="en-AU"/>
        </w:rPr>
      </w:pPr>
      <w:r w:rsidRPr="00DB645C">
        <w:rPr>
          <w:b/>
          <w:bCs/>
          <w:sz w:val="22"/>
          <w:szCs w:val="22"/>
          <w:lang w:val="en-AU"/>
        </w:rPr>
        <w:t xml:space="preserve">3GPP TSG RAN WG1 </w:t>
      </w:r>
      <w:r w:rsidRPr="00DB645C">
        <w:rPr>
          <w:b/>
          <w:bCs/>
          <w:sz w:val="22"/>
          <w:szCs w:val="22"/>
          <w:lang w:val="en-GB"/>
        </w:rPr>
        <w:t>#9</w:t>
      </w:r>
      <w:r w:rsidR="003F61BE" w:rsidRPr="00DB645C">
        <w:rPr>
          <w:b/>
          <w:bCs/>
          <w:sz w:val="22"/>
          <w:szCs w:val="22"/>
          <w:lang w:val="en-GB"/>
        </w:rPr>
        <w:t>8</w:t>
      </w:r>
      <w:r w:rsidRPr="00DB645C">
        <w:rPr>
          <w:b/>
          <w:bCs/>
          <w:sz w:val="22"/>
          <w:szCs w:val="22"/>
          <w:lang w:val="en-AU"/>
        </w:rPr>
        <w:tab/>
      </w:r>
      <w:r w:rsidR="00D13BF4" w:rsidRPr="00DB645C">
        <w:rPr>
          <w:b/>
          <w:bCs/>
          <w:sz w:val="22"/>
          <w:szCs w:val="22"/>
          <w:lang w:val="en-AU"/>
        </w:rPr>
        <w:t>R1-190</w:t>
      </w:r>
      <w:r w:rsidR="00142745" w:rsidRPr="00DB645C">
        <w:rPr>
          <w:b/>
          <w:bCs/>
          <w:sz w:val="22"/>
          <w:szCs w:val="22"/>
          <w:lang w:val="en-AU"/>
        </w:rPr>
        <w:t>8851</w:t>
      </w:r>
    </w:p>
    <w:p w14:paraId="47832D48" w14:textId="2EA8C635" w:rsidR="00AA147A" w:rsidRPr="00DB645C" w:rsidRDefault="003F61BE" w:rsidP="00751AB9">
      <w:pPr>
        <w:pStyle w:val="a3"/>
        <w:tabs>
          <w:tab w:val="clear" w:pos="4320"/>
        </w:tabs>
        <w:rPr>
          <w:b/>
          <w:bCs/>
          <w:sz w:val="22"/>
          <w:szCs w:val="22"/>
          <w:lang w:val="en-GB"/>
        </w:rPr>
      </w:pPr>
      <w:r w:rsidRPr="00DB645C">
        <w:rPr>
          <w:b/>
          <w:bCs/>
          <w:sz w:val="22"/>
          <w:szCs w:val="22"/>
          <w:lang w:val="en-GB"/>
        </w:rPr>
        <w:t>Prague, CZ, August 26th – 30th, 2019</w:t>
      </w:r>
    </w:p>
    <w:p w14:paraId="0E6CF4D5" w14:textId="77777777" w:rsidR="00AA147A" w:rsidRPr="00DB645C" w:rsidRDefault="00AA147A" w:rsidP="00AA147A">
      <w:pPr>
        <w:pStyle w:val="a3"/>
        <w:rPr>
          <w:b/>
          <w:bCs/>
          <w:sz w:val="22"/>
          <w:szCs w:val="22"/>
          <w:lang w:val="en-AU"/>
        </w:rPr>
      </w:pPr>
    </w:p>
    <w:p w14:paraId="04F94269" w14:textId="2A1039DB" w:rsidR="00AA147A" w:rsidRPr="00DB645C" w:rsidRDefault="00AA147A" w:rsidP="00AA147A">
      <w:pPr>
        <w:tabs>
          <w:tab w:val="left" w:pos="1820"/>
        </w:tabs>
        <w:spacing w:after="60"/>
        <w:jc w:val="both"/>
        <w:rPr>
          <w:b/>
          <w:bCs/>
          <w:sz w:val="22"/>
          <w:szCs w:val="22"/>
          <w:lang w:val="en-AU"/>
        </w:rPr>
      </w:pPr>
      <w:r w:rsidRPr="00DB645C">
        <w:rPr>
          <w:b/>
          <w:sz w:val="22"/>
          <w:szCs w:val="22"/>
          <w:lang w:val="en-AU"/>
        </w:rPr>
        <w:t>Agenda Item:</w:t>
      </w:r>
      <w:r w:rsidRPr="00DB645C">
        <w:rPr>
          <w:b/>
          <w:bCs/>
          <w:sz w:val="22"/>
          <w:szCs w:val="22"/>
          <w:lang w:val="en-AU"/>
        </w:rPr>
        <w:tab/>
      </w:r>
      <w:r w:rsidR="00751AB9" w:rsidRPr="00DB645C">
        <w:rPr>
          <w:b/>
          <w:bCs/>
          <w:sz w:val="22"/>
          <w:szCs w:val="22"/>
          <w:lang w:val="en-AU"/>
        </w:rPr>
        <w:t>7</w:t>
      </w:r>
      <w:r w:rsidR="00DC3080" w:rsidRPr="00DB645C">
        <w:rPr>
          <w:b/>
          <w:bCs/>
          <w:sz w:val="22"/>
          <w:szCs w:val="22"/>
          <w:lang w:val="en-AU"/>
        </w:rPr>
        <w:t>.2.</w:t>
      </w:r>
      <w:r w:rsidR="00751AB9" w:rsidRPr="00DB645C">
        <w:rPr>
          <w:b/>
          <w:bCs/>
          <w:sz w:val="22"/>
          <w:szCs w:val="22"/>
          <w:lang w:val="en-AU"/>
        </w:rPr>
        <w:t>4</w:t>
      </w:r>
      <w:r w:rsidR="00DC3080" w:rsidRPr="00DB645C">
        <w:rPr>
          <w:b/>
          <w:bCs/>
          <w:sz w:val="22"/>
          <w:szCs w:val="22"/>
          <w:lang w:val="en-AU"/>
        </w:rPr>
        <w:t>.</w:t>
      </w:r>
      <w:r w:rsidR="0075093F" w:rsidRPr="00DB645C">
        <w:rPr>
          <w:b/>
          <w:bCs/>
          <w:sz w:val="22"/>
          <w:szCs w:val="22"/>
          <w:lang w:val="en-AU"/>
        </w:rPr>
        <w:t>2</w:t>
      </w:r>
      <w:r w:rsidR="00172052" w:rsidRPr="00DB645C">
        <w:rPr>
          <w:b/>
          <w:bCs/>
          <w:sz w:val="22"/>
          <w:szCs w:val="22"/>
          <w:lang w:val="en-AU"/>
        </w:rPr>
        <w:t>.1</w:t>
      </w:r>
    </w:p>
    <w:p w14:paraId="69755E01" w14:textId="77777777" w:rsidR="00AA147A" w:rsidRPr="00DB645C" w:rsidRDefault="00AA147A" w:rsidP="00AA147A">
      <w:pPr>
        <w:tabs>
          <w:tab w:val="left" w:pos="1820"/>
        </w:tabs>
        <w:spacing w:after="60"/>
        <w:jc w:val="both"/>
        <w:rPr>
          <w:b/>
          <w:bCs/>
          <w:sz w:val="22"/>
          <w:szCs w:val="22"/>
          <w:lang w:val="en-AU"/>
        </w:rPr>
      </w:pPr>
      <w:r w:rsidRPr="00DB645C">
        <w:rPr>
          <w:b/>
          <w:sz w:val="22"/>
          <w:szCs w:val="22"/>
          <w:lang w:val="en-AU"/>
        </w:rPr>
        <w:t>Source:</w:t>
      </w:r>
      <w:r w:rsidRPr="00DB645C">
        <w:rPr>
          <w:b/>
          <w:bCs/>
          <w:sz w:val="22"/>
          <w:szCs w:val="22"/>
          <w:lang w:val="en-AU"/>
        </w:rPr>
        <w:t xml:space="preserve"> </w:t>
      </w:r>
      <w:r w:rsidRPr="00DB645C">
        <w:rPr>
          <w:b/>
          <w:bCs/>
          <w:sz w:val="22"/>
          <w:szCs w:val="22"/>
          <w:lang w:val="en-AU"/>
        </w:rPr>
        <w:tab/>
        <w:t>NEC</w:t>
      </w:r>
    </w:p>
    <w:p w14:paraId="56A43E7A" w14:textId="56AEE693" w:rsidR="00AA4A5D" w:rsidRPr="00DB645C" w:rsidRDefault="00AA4A5D" w:rsidP="00AA4A5D">
      <w:pPr>
        <w:tabs>
          <w:tab w:val="left" w:pos="1820"/>
        </w:tabs>
        <w:spacing w:after="60"/>
        <w:ind w:left="1820" w:hanging="1820"/>
        <w:rPr>
          <w:b/>
          <w:sz w:val="22"/>
          <w:szCs w:val="22"/>
          <w:lang w:val="en-AU"/>
        </w:rPr>
      </w:pPr>
      <w:r w:rsidRPr="00DB645C">
        <w:rPr>
          <w:b/>
          <w:sz w:val="22"/>
          <w:szCs w:val="22"/>
          <w:lang w:val="en-AU"/>
        </w:rPr>
        <w:t>Title:</w:t>
      </w:r>
      <w:r w:rsidRPr="00DB645C">
        <w:rPr>
          <w:b/>
          <w:bCs/>
          <w:sz w:val="22"/>
          <w:szCs w:val="22"/>
          <w:lang w:val="en-AU"/>
        </w:rPr>
        <w:tab/>
      </w:r>
      <w:r w:rsidR="00190220" w:rsidRPr="00DB645C">
        <w:rPr>
          <w:b/>
          <w:bCs/>
          <w:sz w:val="22"/>
          <w:szCs w:val="22"/>
          <w:lang w:val="en-AU"/>
        </w:rPr>
        <w:t>Mode 1 r</w:t>
      </w:r>
      <w:r w:rsidR="00845991" w:rsidRPr="00DB645C">
        <w:rPr>
          <w:b/>
          <w:bCs/>
          <w:sz w:val="22"/>
          <w:szCs w:val="22"/>
          <w:lang w:val="en-AU"/>
        </w:rPr>
        <w:t>esource allocation mechanism for</w:t>
      </w:r>
      <w:r w:rsidR="005B0ED3" w:rsidRPr="00DB645C">
        <w:rPr>
          <w:b/>
          <w:bCs/>
          <w:sz w:val="22"/>
          <w:szCs w:val="22"/>
          <w:lang w:val="en-AU"/>
        </w:rPr>
        <w:t xml:space="preserve"> NR </w:t>
      </w:r>
      <w:r w:rsidR="00FB3365" w:rsidRPr="00DB645C">
        <w:rPr>
          <w:b/>
          <w:bCs/>
          <w:sz w:val="22"/>
          <w:szCs w:val="22"/>
          <w:lang w:val="en-AU"/>
        </w:rPr>
        <w:t>sidelink</w:t>
      </w:r>
    </w:p>
    <w:p w14:paraId="75FDC0A8" w14:textId="02BF5879" w:rsidR="00AA4A5D" w:rsidRPr="00DB645C" w:rsidRDefault="00AA4A5D" w:rsidP="00AA4A5D">
      <w:pPr>
        <w:pBdr>
          <w:bottom w:val="single" w:sz="6" w:space="7" w:color="auto"/>
        </w:pBdr>
        <w:tabs>
          <w:tab w:val="left" w:pos="1820"/>
        </w:tabs>
        <w:jc w:val="both"/>
        <w:rPr>
          <w:rFonts w:eastAsia="MS Mincho"/>
          <w:b/>
          <w:bCs/>
          <w:sz w:val="22"/>
          <w:szCs w:val="22"/>
          <w:lang w:val="en-AU" w:eastAsia="ja-JP"/>
        </w:rPr>
      </w:pPr>
      <w:r w:rsidRPr="00DB645C">
        <w:rPr>
          <w:b/>
          <w:sz w:val="22"/>
          <w:szCs w:val="22"/>
          <w:lang w:val="en-AU"/>
        </w:rPr>
        <w:t>Document for:</w:t>
      </w:r>
      <w:r w:rsidRPr="00DB645C">
        <w:rPr>
          <w:b/>
          <w:bCs/>
          <w:sz w:val="22"/>
          <w:szCs w:val="22"/>
          <w:lang w:val="en-AU"/>
        </w:rPr>
        <w:tab/>
      </w:r>
      <w:r w:rsidR="00907F18" w:rsidRPr="00DB645C">
        <w:rPr>
          <w:b/>
          <w:bCs/>
          <w:sz w:val="22"/>
          <w:szCs w:val="22"/>
          <w:lang w:val="en-AU"/>
        </w:rPr>
        <w:t>Discussion</w:t>
      </w:r>
      <w:r w:rsidR="00D15440" w:rsidRPr="00DB645C">
        <w:rPr>
          <w:b/>
          <w:bCs/>
          <w:sz w:val="22"/>
          <w:szCs w:val="22"/>
          <w:lang w:val="en-AU"/>
        </w:rPr>
        <w:t>/Decisio</w:t>
      </w:r>
      <w:r w:rsidR="00E3211F" w:rsidRPr="00DB645C">
        <w:rPr>
          <w:b/>
          <w:bCs/>
          <w:sz w:val="22"/>
          <w:szCs w:val="22"/>
          <w:lang w:val="en-AU"/>
        </w:rPr>
        <w:t>n</w:t>
      </w:r>
    </w:p>
    <w:p w14:paraId="3E09BF39" w14:textId="77777777" w:rsidR="00012620" w:rsidRPr="00DB645C" w:rsidRDefault="00012620" w:rsidP="00012620">
      <w:pPr>
        <w:pStyle w:val="1"/>
        <w:spacing w:after="120"/>
        <w:jc w:val="both"/>
        <w:rPr>
          <w:rFonts w:ascii="Times New Roman" w:hAnsi="Times New Roman" w:cs="Times New Roman"/>
          <w:bCs w:val="0"/>
          <w:sz w:val="22"/>
          <w:szCs w:val="22"/>
          <w:lang w:val="en-AU"/>
        </w:rPr>
      </w:pPr>
      <w:r w:rsidRPr="00DB645C">
        <w:rPr>
          <w:rFonts w:ascii="Times New Roman" w:hAnsi="Times New Roman" w:cs="Times New Roman"/>
          <w:bCs w:val="0"/>
          <w:sz w:val="22"/>
          <w:szCs w:val="22"/>
          <w:lang w:val="en-AU"/>
        </w:rPr>
        <w:t>Introduction</w:t>
      </w:r>
    </w:p>
    <w:p w14:paraId="37F639CA" w14:textId="3BB9883A" w:rsidR="00DE5F31" w:rsidRPr="00DB645C" w:rsidRDefault="00DE5F31" w:rsidP="00DE5F31">
      <w:pPr>
        <w:jc w:val="both"/>
        <w:rPr>
          <w:sz w:val="22"/>
          <w:szCs w:val="22"/>
        </w:rPr>
      </w:pPr>
      <w:r w:rsidRPr="00DB645C">
        <w:rPr>
          <w:sz w:val="22"/>
          <w:szCs w:val="22"/>
          <w:lang w:val="en-AU"/>
        </w:rPr>
        <w:t>The work item of 5G V2X with NR sidelink was approved in RAN#83</w:t>
      </w:r>
      <w:r w:rsidR="00C9049D" w:rsidRPr="00DB645C">
        <w:rPr>
          <w:sz w:val="22"/>
          <w:szCs w:val="22"/>
          <w:lang w:val="en-AU"/>
        </w:rPr>
        <w:t xml:space="preserve"> </w:t>
      </w:r>
      <w:r w:rsidRPr="00DB645C">
        <w:rPr>
          <w:sz w:val="22"/>
          <w:szCs w:val="22"/>
        </w:rPr>
        <w:fldChar w:fldCharType="begin"/>
      </w:r>
      <w:r w:rsidRPr="00DB645C">
        <w:rPr>
          <w:sz w:val="22"/>
          <w:szCs w:val="22"/>
        </w:rPr>
        <w:instrText xml:space="preserve"> REF _Ref732689 \r \h  \* MERGEFORMAT </w:instrText>
      </w:r>
      <w:r w:rsidRPr="00DB645C">
        <w:rPr>
          <w:sz w:val="22"/>
          <w:szCs w:val="22"/>
        </w:rPr>
      </w:r>
      <w:r w:rsidRPr="00DB645C">
        <w:rPr>
          <w:sz w:val="22"/>
          <w:szCs w:val="22"/>
        </w:rPr>
        <w:fldChar w:fldCharType="separate"/>
      </w:r>
      <w:r w:rsidRPr="00DB645C">
        <w:rPr>
          <w:sz w:val="22"/>
          <w:szCs w:val="22"/>
        </w:rPr>
        <w:t>[1]</w:t>
      </w:r>
      <w:r w:rsidRPr="00DB645C">
        <w:rPr>
          <w:sz w:val="22"/>
          <w:szCs w:val="22"/>
        </w:rPr>
        <w:fldChar w:fldCharType="end"/>
      </w:r>
      <w:r w:rsidR="00C9049D" w:rsidRPr="00DB645C">
        <w:rPr>
          <w:sz w:val="22"/>
          <w:szCs w:val="22"/>
        </w:rPr>
        <w:t>, in RAN1#9</w:t>
      </w:r>
      <w:r w:rsidR="00327D38" w:rsidRPr="00DB645C">
        <w:rPr>
          <w:sz w:val="22"/>
          <w:szCs w:val="22"/>
        </w:rPr>
        <w:t>7</w:t>
      </w:r>
      <w:r w:rsidR="00C9049D" w:rsidRPr="00DB645C">
        <w:rPr>
          <w:sz w:val="22"/>
          <w:szCs w:val="22"/>
        </w:rPr>
        <w:t xml:space="preserve">, the issue on mode 1 resource allocation was discussed with following </w:t>
      </w:r>
      <w:r w:rsidR="00300620" w:rsidRPr="00DB645C">
        <w:rPr>
          <w:sz w:val="22"/>
          <w:szCs w:val="22"/>
        </w:rPr>
        <w:t>agreement</w:t>
      </w:r>
      <w:r w:rsidR="00DB645C" w:rsidRPr="00DB645C">
        <w:rPr>
          <w:sz w:val="22"/>
          <w:szCs w:val="22"/>
        </w:rPr>
        <w:t>s</w:t>
      </w:r>
      <w:r w:rsidR="00AD5B52" w:rsidRPr="00DB645C">
        <w:rPr>
          <w:sz w:val="22"/>
          <w:szCs w:val="22"/>
        </w:rPr>
        <w:t xml:space="preserve"> </w:t>
      </w:r>
      <w:r w:rsidR="00AD5B52" w:rsidRPr="00DB645C">
        <w:rPr>
          <w:sz w:val="22"/>
          <w:szCs w:val="22"/>
        </w:rPr>
        <w:fldChar w:fldCharType="begin"/>
      </w:r>
      <w:r w:rsidR="00AD5B52" w:rsidRPr="00DB645C">
        <w:rPr>
          <w:sz w:val="22"/>
          <w:szCs w:val="22"/>
        </w:rPr>
        <w:instrText xml:space="preserve"> REF _Ref5028497 \r \h </w:instrText>
      </w:r>
      <w:r w:rsidR="00746C50" w:rsidRPr="00DB645C">
        <w:rPr>
          <w:sz w:val="22"/>
          <w:szCs w:val="22"/>
        </w:rPr>
        <w:instrText xml:space="preserve"> \* MERGEFORMAT </w:instrText>
      </w:r>
      <w:r w:rsidR="00AD5B52" w:rsidRPr="00DB645C">
        <w:rPr>
          <w:sz w:val="22"/>
          <w:szCs w:val="22"/>
        </w:rPr>
      </w:r>
      <w:r w:rsidR="00AD5B52" w:rsidRPr="00DB645C">
        <w:rPr>
          <w:sz w:val="22"/>
          <w:szCs w:val="22"/>
        </w:rPr>
        <w:fldChar w:fldCharType="separate"/>
      </w:r>
      <w:r w:rsidR="00AD5B52" w:rsidRPr="00DB645C">
        <w:rPr>
          <w:sz w:val="22"/>
          <w:szCs w:val="22"/>
        </w:rPr>
        <w:t>[</w:t>
      </w:r>
      <w:r w:rsidR="00AD5B52" w:rsidRPr="00DB645C">
        <w:rPr>
          <w:sz w:val="22"/>
          <w:szCs w:val="22"/>
        </w:rPr>
        <w:t>2</w:t>
      </w:r>
      <w:r w:rsidR="00AD5B52" w:rsidRPr="00DB645C">
        <w:rPr>
          <w:sz w:val="22"/>
          <w:szCs w:val="22"/>
        </w:rPr>
        <w:t>]</w:t>
      </w:r>
      <w:r w:rsidR="00AD5B52" w:rsidRPr="00DB645C">
        <w:rPr>
          <w:sz w:val="22"/>
          <w:szCs w:val="22"/>
        </w:rPr>
        <w:fldChar w:fldCharType="end"/>
      </w:r>
      <w:r w:rsidR="00300620" w:rsidRPr="00DB645C">
        <w:rPr>
          <w:sz w:val="22"/>
          <w:szCs w:val="22"/>
        </w:rPr>
        <w:t>:</w:t>
      </w:r>
    </w:p>
    <w:p w14:paraId="2BB38D61" w14:textId="77777777" w:rsidR="00C9049D" w:rsidRPr="00DB645C" w:rsidRDefault="00C9049D" w:rsidP="00C9049D">
      <w:pPr>
        <w:rPr>
          <w:rFonts w:ascii="Times" w:eastAsia="Batang" w:hAnsi="Times"/>
          <w:sz w:val="22"/>
          <w:szCs w:val="22"/>
          <w:highlight w:val="green"/>
          <w:lang w:val="en-GB" w:eastAsia="en-US"/>
        </w:rPr>
      </w:pPr>
    </w:p>
    <w:p w14:paraId="0C056B0B" w14:textId="77777777" w:rsidR="004101CA" w:rsidRPr="00DB645C" w:rsidRDefault="004101CA" w:rsidP="004101CA">
      <w:pPr>
        <w:rPr>
          <w:rFonts w:ascii="Times" w:eastAsia="Batang" w:hAnsi="Times"/>
          <w:sz w:val="22"/>
          <w:szCs w:val="22"/>
          <w:lang w:val="en-GB" w:eastAsia="en-US"/>
        </w:rPr>
      </w:pPr>
      <w:r w:rsidRPr="00DB645C">
        <w:rPr>
          <w:rFonts w:ascii="Times" w:eastAsia="Batang" w:hAnsi="Times"/>
          <w:sz w:val="22"/>
          <w:szCs w:val="22"/>
          <w:highlight w:val="green"/>
          <w:lang w:val="en-GB" w:eastAsia="en-US"/>
        </w:rPr>
        <w:t>Agreements</w:t>
      </w:r>
      <w:r w:rsidRPr="00DB645C">
        <w:rPr>
          <w:rFonts w:ascii="Times" w:eastAsia="Batang" w:hAnsi="Times"/>
          <w:sz w:val="22"/>
          <w:szCs w:val="22"/>
          <w:lang w:val="en-GB" w:eastAsia="en-US"/>
        </w:rPr>
        <w:t>:</w:t>
      </w:r>
    </w:p>
    <w:p w14:paraId="46E82956" w14:textId="77777777" w:rsidR="004101CA" w:rsidRPr="00DB645C" w:rsidRDefault="004101CA" w:rsidP="004101CA">
      <w:pPr>
        <w:numPr>
          <w:ilvl w:val="0"/>
          <w:numId w:val="23"/>
        </w:numPr>
        <w:rPr>
          <w:rFonts w:ascii="Times" w:eastAsia="Batang" w:hAnsi="Times"/>
          <w:sz w:val="22"/>
          <w:szCs w:val="22"/>
          <w:lang w:val="en-GB" w:eastAsia="ja-JP"/>
        </w:rPr>
      </w:pPr>
      <w:r w:rsidRPr="00DB645C">
        <w:rPr>
          <w:rFonts w:ascii="Times" w:eastAsia="Batang" w:hAnsi="Times"/>
          <w:sz w:val="22"/>
          <w:szCs w:val="22"/>
          <w:lang w:val="en-GB" w:eastAsia="ja-JP"/>
        </w:rPr>
        <w:t>Sidelink HARQ ACK/NACK report from transmitter UE to gNB is supported with details FFS.</w:t>
      </w:r>
    </w:p>
    <w:p w14:paraId="5386A5C0" w14:textId="77777777" w:rsidR="004101CA" w:rsidRPr="00DB645C" w:rsidRDefault="004101CA" w:rsidP="004101CA">
      <w:pPr>
        <w:ind w:leftChars="400" w:left="960"/>
        <w:rPr>
          <w:rFonts w:ascii="Times" w:eastAsia="Batang" w:hAnsi="Times"/>
          <w:sz w:val="22"/>
          <w:szCs w:val="22"/>
          <w:lang w:val="en-GB" w:eastAsia="ja-JP"/>
        </w:rPr>
      </w:pPr>
      <w:r w:rsidRPr="00DB645C">
        <w:rPr>
          <w:rFonts w:ascii="Times" w:eastAsia="Batang" w:hAnsi="Times"/>
          <w:sz w:val="22"/>
          <w:szCs w:val="22"/>
          <w:lang w:val="en-GB" w:eastAsia="ja-JP"/>
        </w:rPr>
        <w:t>Note: this reverts the following agreement from RAN1#96:</w:t>
      </w:r>
    </w:p>
    <w:p w14:paraId="6F91AAF6" w14:textId="77777777" w:rsidR="004101CA" w:rsidRPr="00DB645C" w:rsidRDefault="004101CA" w:rsidP="004101CA">
      <w:pPr>
        <w:numPr>
          <w:ilvl w:val="1"/>
          <w:numId w:val="23"/>
        </w:numPr>
        <w:rPr>
          <w:rFonts w:ascii="Times" w:eastAsia="Batang" w:hAnsi="Times"/>
          <w:sz w:val="22"/>
          <w:szCs w:val="22"/>
          <w:lang w:val="en-GB" w:eastAsia="ja-JP"/>
        </w:rPr>
      </w:pPr>
      <w:r w:rsidRPr="00DB645C">
        <w:rPr>
          <w:rFonts w:ascii="Times" w:eastAsia="Batang" w:hAnsi="Times"/>
          <w:sz w:val="22"/>
          <w:szCs w:val="22"/>
          <w:lang w:val="en-GB" w:eastAsia="ja-JP"/>
        </w:rPr>
        <w:t>Sidelink HARQ ACK/NACK report from UE to gNB is not supported in Rel-16.</w:t>
      </w:r>
    </w:p>
    <w:p w14:paraId="42589501" w14:textId="77777777" w:rsidR="004101CA" w:rsidRPr="00DB645C" w:rsidRDefault="004101CA" w:rsidP="004101CA">
      <w:pPr>
        <w:numPr>
          <w:ilvl w:val="0"/>
          <w:numId w:val="23"/>
        </w:numPr>
        <w:rPr>
          <w:rFonts w:ascii="Times" w:eastAsia="Batang" w:hAnsi="Times"/>
          <w:sz w:val="22"/>
          <w:szCs w:val="22"/>
          <w:lang w:val="en-GB" w:eastAsia="ja-JP"/>
        </w:rPr>
      </w:pPr>
      <w:r w:rsidRPr="00DB645C">
        <w:rPr>
          <w:rFonts w:ascii="Times" w:eastAsia="Batang" w:hAnsi="Times"/>
          <w:sz w:val="22"/>
          <w:szCs w:val="22"/>
          <w:lang w:val="en-GB" w:eastAsia="ja-JP"/>
        </w:rPr>
        <w:t>SR/BSR report to gNB for the purpose of requesting resources for HARQ retransmission is not supported.</w:t>
      </w:r>
    </w:p>
    <w:p w14:paraId="06640DAB" w14:textId="77777777" w:rsidR="004101CA" w:rsidRPr="00DB645C" w:rsidRDefault="004101CA" w:rsidP="004101CA">
      <w:pPr>
        <w:rPr>
          <w:rFonts w:ascii="Times" w:eastAsia="Batang" w:hAnsi="Times"/>
          <w:sz w:val="22"/>
          <w:szCs w:val="22"/>
          <w:lang w:val="en-GB" w:eastAsia="en-US"/>
        </w:rPr>
      </w:pPr>
    </w:p>
    <w:p w14:paraId="476D10A5" w14:textId="77777777" w:rsidR="004101CA" w:rsidRPr="00DB645C" w:rsidRDefault="004101CA" w:rsidP="004101CA">
      <w:pPr>
        <w:rPr>
          <w:rFonts w:ascii="Times" w:eastAsia="Batang" w:hAnsi="Times"/>
          <w:sz w:val="22"/>
          <w:szCs w:val="22"/>
          <w:lang w:val="en-GB" w:eastAsia="en-US"/>
        </w:rPr>
      </w:pPr>
      <w:r w:rsidRPr="00DB645C">
        <w:rPr>
          <w:rFonts w:ascii="Times" w:eastAsia="Batang" w:hAnsi="Times"/>
          <w:sz w:val="22"/>
          <w:szCs w:val="22"/>
          <w:highlight w:val="green"/>
          <w:lang w:val="en-GB" w:eastAsia="en-US"/>
        </w:rPr>
        <w:t>Agreements</w:t>
      </w:r>
      <w:r w:rsidRPr="00DB645C">
        <w:rPr>
          <w:rFonts w:ascii="Times" w:eastAsia="Batang" w:hAnsi="Times"/>
          <w:sz w:val="22"/>
          <w:szCs w:val="22"/>
          <w:lang w:val="en-GB" w:eastAsia="en-US"/>
        </w:rPr>
        <w:t>:</w:t>
      </w:r>
    </w:p>
    <w:p w14:paraId="3E245445" w14:textId="77777777" w:rsidR="004101CA" w:rsidRPr="00DB645C" w:rsidRDefault="004101CA" w:rsidP="004101CA">
      <w:pPr>
        <w:numPr>
          <w:ilvl w:val="0"/>
          <w:numId w:val="23"/>
        </w:numPr>
        <w:rPr>
          <w:rFonts w:ascii="Times" w:eastAsia="Batang" w:hAnsi="Times"/>
          <w:sz w:val="22"/>
          <w:szCs w:val="22"/>
          <w:lang w:val="en-GB" w:eastAsia="ja-JP"/>
        </w:rPr>
      </w:pPr>
      <w:r w:rsidRPr="00DB645C">
        <w:rPr>
          <w:rFonts w:ascii="Times" w:eastAsia="Batang" w:hAnsi="Times"/>
          <w:sz w:val="22"/>
          <w:szCs w:val="22"/>
          <w:lang w:val="en-GB" w:eastAsia="ja-JP"/>
        </w:rPr>
        <w:t>NR sidelink does not support performing different transmissions of a TB using different configured grants.</w:t>
      </w:r>
    </w:p>
    <w:p w14:paraId="12C1BC1A" w14:textId="77777777" w:rsidR="004101CA" w:rsidRPr="00DB645C" w:rsidRDefault="004101CA" w:rsidP="004101CA">
      <w:pPr>
        <w:rPr>
          <w:rFonts w:ascii="Times" w:eastAsia="Batang" w:hAnsi="Times"/>
          <w:sz w:val="22"/>
          <w:szCs w:val="22"/>
          <w:lang w:val="en-GB" w:eastAsia="en-US"/>
        </w:rPr>
      </w:pPr>
    </w:p>
    <w:p w14:paraId="2D59ED8A" w14:textId="77777777" w:rsidR="004101CA" w:rsidRPr="00DB645C" w:rsidRDefault="004101CA" w:rsidP="004101CA">
      <w:pPr>
        <w:rPr>
          <w:rFonts w:ascii="Times" w:eastAsia="Batang" w:hAnsi="Times"/>
          <w:sz w:val="22"/>
          <w:szCs w:val="22"/>
          <w:lang w:val="en-GB" w:eastAsia="en-US"/>
        </w:rPr>
      </w:pPr>
      <w:r w:rsidRPr="00DB645C">
        <w:rPr>
          <w:rFonts w:ascii="Times" w:eastAsia="Batang" w:hAnsi="Times"/>
          <w:sz w:val="22"/>
          <w:szCs w:val="22"/>
          <w:highlight w:val="green"/>
          <w:lang w:val="en-GB" w:eastAsia="en-US"/>
        </w:rPr>
        <w:t>Agreements</w:t>
      </w:r>
      <w:r w:rsidRPr="00DB645C">
        <w:rPr>
          <w:rFonts w:ascii="Times" w:eastAsia="Batang" w:hAnsi="Times"/>
          <w:sz w:val="22"/>
          <w:szCs w:val="22"/>
          <w:lang w:val="en-GB" w:eastAsia="en-US"/>
        </w:rPr>
        <w:t>:</w:t>
      </w:r>
    </w:p>
    <w:p w14:paraId="6DFA9488" w14:textId="77777777" w:rsidR="004101CA" w:rsidRPr="00DB645C" w:rsidRDefault="004101CA" w:rsidP="004101CA">
      <w:pPr>
        <w:numPr>
          <w:ilvl w:val="0"/>
          <w:numId w:val="23"/>
        </w:numPr>
        <w:rPr>
          <w:rFonts w:ascii="Times" w:eastAsia="Batang" w:hAnsi="Times"/>
          <w:sz w:val="22"/>
          <w:szCs w:val="22"/>
          <w:lang w:val="en-GB" w:eastAsia="ja-JP"/>
        </w:rPr>
      </w:pPr>
      <w:r w:rsidRPr="00DB645C">
        <w:rPr>
          <w:rFonts w:ascii="Times" w:eastAsia="Batang" w:hAnsi="Times"/>
          <w:sz w:val="22"/>
          <w:szCs w:val="22"/>
          <w:lang w:val="en-GB" w:eastAsia="ja-JP"/>
        </w:rPr>
        <w:t>For mode 1:</w:t>
      </w:r>
    </w:p>
    <w:p w14:paraId="41211799" w14:textId="77777777" w:rsidR="004101CA" w:rsidRPr="00DB645C" w:rsidRDefault="004101CA" w:rsidP="004101CA">
      <w:pPr>
        <w:numPr>
          <w:ilvl w:val="1"/>
          <w:numId w:val="23"/>
        </w:numPr>
        <w:rPr>
          <w:rFonts w:ascii="Times" w:eastAsia="Batang" w:hAnsi="Times"/>
          <w:sz w:val="22"/>
          <w:szCs w:val="22"/>
          <w:lang w:val="en-GB" w:eastAsia="ja-JP"/>
        </w:rPr>
      </w:pPr>
      <w:r w:rsidRPr="00DB645C">
        <w:rPr>
          <w:rFonts w:ascii="Times" w:eastAsia="Batang" w:hAnsi="Times"/>
          <w:sz w:val="22"/>
          <w:szCs w:val="22"/>
          <w:lang w:val="en-GB" w:eastAsia="ja-JP"/>
        </w:rPr>
        <w:t>A dynamic grant by the gNB provides resources for transmission of PSCCH and PSSCH.</w:t>
      </w:r>
    </w:p>
    <w:p w14:paraId="29E065B8" w14:textId="5F029D5A" w:rsidR="005418B2" w:rsidRPr="00DB645C" w:rsidRDefault="00BE0B42" w:rsidP="00DB645C">
      <w:pPr>
        <w:spacing w:beforeLines="100" w:before="240"/>
        <w:jc w:val="both"/>
        <w:rPr>
          <w:sz w:val="22"/>
          <w:szCs w:val="22"/>
        </w:rPr>
      </w:pPr>
      <w:r w:rsidRPr="00DB645C">
        <w:rPr>
          <w:sz w:val="22"/>
          <w:szCs w:val="22"/>
        </w:rPr>
        <w:t>In this contribution</w:t>
      </w:r>
      <w:r w:rsidR="00A04223" w:rsidRPr="00DB645C">
        <w:rPr>
          <w:sz w:val="22"/>
          <w:szCs w:val="22"/>
        </w:rPr>
        <w:t xml:space="preserve">, we will discuss </w:t>
      </w:r>
      <w:r w:rsidR="00420926" w:rsidRPr="00DB645C">
        <w:rPr>
          <w:sz w:val="22"/>
          <w:szCs w:val="22"/>
        </w:rPr>
        <w:t xml:space="preserve">and give our views on </w:t>
      </w:r>
      <w:r w:rsidR="00A04223" w:rsidRPr="00DB645C">
        <w:rPr>
          <w:sz w:val="22"/>
          <w:szCs w:val="22"/>
        </w:rPr>
        <w:t xml:space="preserve">the issues for </w:t>
      </w:r>
      <w:r w:rsidR="008A2C10" w:rsidRPr="00DB645C">
        <w:rPr>
          <w:sz w:val="22"/>
          <w:szCs w:val="22"/>
        </w:rPr>
        <w:t xml:space="preserve">mode 1 </w:t>
      </w:r>
      <w:r w:rsidR="00D05A04" w:rsidRPr="00DB645C">
        <w:rPr>
          <w:sz w:val="22"/>
          <w:szCs w:val="22"/>
        </w:rPr>
        <w:t>resource allocation mechanism</w:t>
      </w:r>
      <w:r w:rsidR="00A04223" w:rsidRPr="00DB645C">
        <w:rPr>
          <w:sz w:val="22"/>
          <w:szCs w:val="22"/>
        </w:rPr>
        <w:t xml:space="preserve"> in</w:t>
      </w:r>
      <w:r w:rsidR="004513F2" w:rsidRPr="00DB645C">
        <w:rPr>
          <w:sz w:val="22"/>
          <w:szCs w:val="22"/>
        </w:rPr>
        <w:t xml:space="preserve"> NR</w:t>
      </w:r>
      <w:r w:rsidR="007815FA" w:rsidRPr="00DB645C">
        <w:rPr>
          <w:sz w:val="22"/>
          <w:szCs w:val="22"/>
        </w:rPr>
        <w:t xml:space="preserve"> sidelink</w:t>
      </w:r>
      <w:r w:rsidR="00A04223" w:rsidRPr="00DB645C">
        <w:rPr>
          <w:sz w:val="22"/>
          <w:szCs w:val="22"/>
        </w:rPr>
        <w:t>.</w:t>
      </w:r>
    </w:p>
    <w:p w14:paraId="6E67036A" w14:textId="77777777" w:rsidR="00BE062D" w:rsidRPr="00DB645C" w:rsidRDefault="00BE062D" w:rsidP="00012620">
      <w:pPr>
        <w:jc w:val="both"/>
        <w:rPr>
          <w:sz w:val="22"/>
          <w:szCs w:val="22"/>
        </w:rPr>
      </w:pPr>
    </w:p>
    <w:p w14:paraId="13A68B12" w14:textId="77777777" w:rsidR="00012620" w:rsidRPr="00DB645C" w:rsidRDefault="00012620" w:rsidP="00012620">
      <w:pPr>
        <w:pStyle w:val="1"/>
        <w:spacing w:before="0" w:after="120"/>
        <w:jc w:val="both"/>
        <w:rPr>
          <w:rFonts w:ascii="Times New Roman" w:hAnsi="Times New Roman" w:cs="Times New Roman"/>
          <w:sz w:val="22"/>
          <w:szCs w:val="22"/>
          <w:lang w:val="en-AU" w:eastAsia="en-AU"/>
        </w:rPr>
      </w:pPr>
      <w:r w:rsidRPr="00DB645C">
        <w:rPr>
          <w:rFonts w:ascii="Times New Roman" w:hAnsi="Times New Roman" w:cs="Times New Roman"/>
          <w:sz w:val="22"/>
          <w:szCs w:val="22"/>
          <w:lang w:val="en-AU" w:eastAsia="en-AU"/>
        </w:rPr>
        <w:t>Discussion</w:t>
      </w:r>
    </w:p>
    <w:p w14:paraId="36567356" w14:textId="39570343" w:rsidR="00AD5B52" w:rsidRPr="00DB645C" w:rsidRDefault="005328F5" w:rsidP="00AD5B52">
      <w:pPr>
        <w:spacing w:before="240" w:after="120"/>
        <w:jc w:val="both"/>
        <w:rPr>
          <w:b/>
          <w:sz w:val="22"/>
          <w:szCs w:val="22"/>
          <w:u w:val="single"/>
        </w:rPr>
      </w:pPr>
      <w:r w:rsidRPr="00DB645C">
        <w:rPr>
          <w:b/>
          <w:sz w:val="22"/>
          <w:szCs w:val="22"/>
          <w:u w:val="single"/>
        </w:rPr>
        <w:t>HARQ feedback for Mode 1</w:t>
      </w:r>
    </w:p>
    <w:p w14:paraId="67997538" w14:textId="0FBFA6F5" w:rsidR="00340E8C" w:rsidRPr="00DB645C" w:rsidRDefault="005339BB" w:rsidP="00DB645C">
      <w:pPr>
        <w:spacing w:beforeLines="100" w:before="240"/>
        <w:jc w:val="both"/>
        <w:rPr>
          <w:sz w:val="22"/>
          <w:szCs w:val="22"/>
        </w:rPr>
      </w:pPr>
      <w:r w:rsidRPr="00DB645C">
        <w:rPr>
          <w:sz w:val="22"/>
          <w:szCs w:val="22"/>
        </w:rPr>
        <w:t>In the last meeting, it was agreed that HARQ ACK/NACK report from transmitter UE to gNB</w:t>
      </w:r>
      <w:r w:rsidR="00340E8C" w:rsidRPr="00DB645C">
        <w:rPr>
          <w:sz w:val="22"/>
          <w:szCs w:val="22"/>
        </w:rPr>
        <w:t xml:space="preserve"> (Option 1)</w:t>
      </w:r>
      <w:r w:rsidRPr="00DB645C">
        <w:rPr>
          <w:sz w:val="22"/>
          <w:szCs w:val="22"/>
        </w:rPr>
        <w:t xml:space="preserve"> is supported, however, whether a receiver UE can report HARQ ACK/NACK directly to gNB</w:t>
      </w:r>
      <w:r w:rsidR="00340E8C" w:rsidRPr="00DB645C">
        <w:rPr>
          <w:sz w:val="22"/>
          <w:szCs w:val="22"/>
        </w:rPr>
        <w:t xml:space="preserve"> (Option 2)</w:t>
      </w:r>
      <w:r w:rsidRPr="00DB645C">
        <w:rPr>
          <w:sz w:val="22"/>
          <w:szCs w:val="22"/>
        </w:rPr>
        <w:t xml:space="preserve"> is still open. </w:t>
      </w:r>
      <w:r w:rsidR="00340E8C" w:rsidRPr="00DB645C">
        <w:rPr>
          <w:sz w:val="22"/>
          <w:szCs w:val="22"/>
        </w:rPr>
        <w:t xml:space="preserve">If both the transmitter and the receiver are in coverage and </w:t>
      </w:r>
      <w:r w:rsidR="00DB645C">
        <w:rPr>
          <w:sz w:val="22"/>
          <w:szCs w:val="22"/>
        </w:rPr>
        <w:t xml:space="preserve">in </w:t>
      </w:r>
      <w:r w:rsidR="00340E8C" w:rsidRPr="00DB645C">
        <w:rPr>
          <w:sz w:val="22"/>
          <w:szCs w:val="22"/>
        </w:rPr>
        <w:t>RRC connected state, comparing to Option 1, Option 2 has following benefits:</w:t>
      </w:r>
    </w:p>
    <w:p w14:paraId="4E74991B" w14:textId="2FDF2556" w:rsidR="00340E8C" w:rsidRPr="00DB645C" w:rsidRDefault="00340E8C" w:rsidP="00340E8C">
      <w:pPr>
        <w:pStyle w:val="a5"/>
        <w:numPr>
          <w:ilvl w:val="0"/>
          <w:numId w:val="24"/>
        </w:numPr>
        <w:jc w:val="both"/>
        <w:rPr>
          <w:rFonts w:ascii="Times New Roman" w:eastAsia="宋体" w:hAnsi="Times New Roman"/>
          <w:lang w:val="en-US" w:eastAsia="zh-CN"/>
        </w:rPr>
      </w:pPr>
      <w:r w:rsidRPr="00DB645C">
        <w:rPr>
          <w:rFonts w:ascii="Times New Roman" w:eastAsia="宋体" w:hAnsi="Times New Roman"/>
          <w:lang w:val="en-US" w:eastAsia="zh-CN"/>
        </w:rPr>
        <w:t xml:space="preserve">No need to configure </w:t>
      </w:r>
      <w:r w:rsidRPr="00DB645C">
        <w:rPr>
          <w:rFonts w:ascii="Times New Roman" w:eastAsia="宋体" w:hAnsi="Times New Roman" w:hint="eastAsia"/>
          <w:lang w:val="en-US" w:eastAsia="zh-CN"/>
        </w:rPr>
        <w:t>P</w:t>
      </w:r>
      <w:r w:rsidRPr="00DB645C">
        <w:rPr>
          <w:rFonts w:ascii="Times New Roman" w:eastAsia="宋体" w:hAnsi="Times New Roman"/>
          <w:lang w:val="en-US" w:eastAsia="zh-CN"/>
        </w:rPr>
        <w:t xml:space="preserve">SFCH resource or reduced PSFCH transmission. </w:t>
      </w:r>
    </w:p>
    <w:p w14:paraId="1EA827CA" w14:textId="09565103" w:rsidR="00340E8C" w:rsidRPr="00DB645C" w:rsidRDefault="00340E8C" w:rsidP="00340E8C">
      <w:pPr>
        <w:pStyle w:val="a5"/>
        <w:ind w:left="360"/>
        <w:jc w:val="both"/>
        <w:rPr>
          <w:rFonts w:ascii="Times New Roman" w:eastAsia="宋体" w:hAnsi="Times New Roman"/>
          <w:lang w:val="en-US" w:eastAsia="zh-CN"/>
        </w:rPr>
      </w:pPr>
      <w:r w:rsidRPr="00DB645C">
        <w:rPr>
          <w:rFonts w:ascii="Times New Roman" w:eastAsia="宋体" w:hAnsi="Times New Roman"/>
          <w:lang w:val="en-US" w:eastAsia="zh-CN"/>
        </w:rPr>
        <w:t xml:space="preserve">HARQ ACK/NACK information is transmitted from receiver UE to the transmitter via PSFCH in Option 1, hence PSFCH resources are needed in the mode 1 resource pool. </w:t>
      </w:r>
      <w:r w:rsidR="00F920F5" w:rsidRPr="00DB645C">
        <w:rPr>
          <w:rFonts w:ascii="Times New Roman" w:eastAsia="宋体" w:hAnsi="Times New Roman"/>
          <w:lang w:val="en-US" w:eastAsia="zh-CN"/>
        </w:rPr>
        <w:t>To support PSFCH reception, additional AGC symbol is needed, which will bring down the resource efficiency. And PSFCH transmission can increase half duplex constraints at the receiver. If Option 2 is used, the issues can be avoided or mitigated.</w:t>
      </w:r>
    </w:p>
    <w:p w14:paraId="4369E82C" w14:textId="77777777" w:rsidR="00F920F5" w:rsidRPr="00DB645C" w:rsidRDefault="00F920F5" w:rsidP="00F920F5">
      <w:pPr>
        <w:pStyle w:val="a5"/>
        <w:numPr>
          <w:ilvl w:val="0"/>
          <w:numId w:val="24"/>
        </w:numPr>
        <w:jc w:val="both"/>
        <w:rPr>
          <w:rFonts w:ascii="Times New Roman" w:eastAsia="宋体" w:hAnsi="Times New Roman"/>
          <w:lang w:val="en-US" w:eastAsia="zh-CN"/>
        </w:rPr>
      </w:pPr>
      <w:r w:rsidRPr="00DB645C">
        <w:rPr>
          <w:rFonts w:ascii="Times New Roman" w:eastAsia="宋体" w:hAnsi="Times New Roman"/>
          <w:lang w:val="en-US" w:eastAsia="zh-CN"/>
        </w:rPr>
        <w:t>Scheduling delay for retransmission is reduced.</w:t>
      </w:r>
    </w:p>
    <w:p w14:paraId="4F6E986F" w14:textId="72CFD821" w:rsidR="00F920F5" w:rsidRPr="00DB645C" w:rsidRDefault="00F920F5" w:rsidP="00F920F5">
      <w:pPr>
        <w:pStyle w:val="a5"/>
        <w:ind w:left="360"/>
        <w:jc w:val="both"/>
        <w:rPr>
          <w:rFonts w:ascii="Times New Roman" w:eastAsia="宋体" w:hAnsi="Times New Roman"/>
          <w:lang w:val="en-US" w:eastAsia="zh-CN"/>
        </w:rPr>
      </w:pPr>
      <w:r w:rsidRPr="00DB645C">
        <w:rPr>
          <w:rFonts w:ascii="Times New Roman" w:eastAsia="宋体" w:hAnsi="Times New Roman"/>
          <w:lang w:val="en-US" w:eastAsia="zh-CN"/>
        </w:rPr>
        <w:t xml:space="preserve">In Option 2, the HARQ ACK/NACK information is directly transmitted to the gNB, the delay introduced by PSFCH is avoided, </w:t>
      </w:r>
      <w:r w:rsidR="00941E32" w:rsidRPr="00DB645C">
        <w:rPr>
          <w:rFonts w:ascii="Times New Roman" w:eastAsia="宋体" w:hAnsi="Times New Roman"/>
          <w:lang w:val="en-US" w:eastAsia="zh-CN"/>
        </w:rPr>
        <w:t>and traffic with stringent delay requirement can be supported</w:t>
      </w:r>
      <w:r w:rsidRPr="00DB645C">
        <w:rPr>
          <w:rFonts w:ascii="Times New Roman" w:eastAsia="宋体" w:hAnsi="Times New Roman"/>
          <w:lang w:val="en-US" w:eastAsia="zh-CN"/>
        </w:rPr>
        <w:t xml:space="preserve">.  </w:t>
      </w:r>
    </w:p>
    <w:p w14:paraId="2AA371D6" w14:textId="67741014" w:rsidR="00951240" w:rsidRPr="00DB645C" w:rsidRDefault="00951240" w:rsidP="00951240">
      <w:pPr>
        <w:pStyle w:val="a5"/>
        <w:numPr>
          <w:ilvl w:val="0"/>
          <w:numId w:val="24"/>
        </w:numPr>
        <w:jc w:val="both"/>
        <w:rPr>
          <w:rFonts w:ascii="Times New Roman" w:eastAsia="宋体" w:hAnsi="Times New Roman"/>
          <w:lang w:val="en-US" w:eastAsia="zh-CN"/>
        </w:rPr>
      </w:pPr>
      <w:r w:rsidRPr="00DB645C">
        <w:rPr>
          <w:rFonts w:ascii="Times New Roman" w:eastAsia="宋体" w:hAnsi="Times New Roman"/>
          <w:lang w:val="en-US" w:eastAsia="zh-CN"/>
        </w:rPr>
        <w:t>Limited complexity</w:t>
      </w:r>
    </w:p>
    <w:p w14:paraId="6A99BC95" w14:textId="00ADAF77" w:rsidR="00951240" w:rsidRPr="00DB645C" w:rsidRDefault="00951240" w:rsidP="00951240">
      <w:pPr>
        <w:pStyle w:val="a5"/>
        <w:ind w:left="360"/>
        <w:jc w:val="both"/>
        <w:rPr>
          <w:rFonts w:ascii="Times New Roman" w:eastAsia="宋体" w:hAnsi="Times New Roman"/>
          <w:lang w:val="en-US" w:eastAsia="zh-CN"/>
        </w:rPr>
      </w:pPr>
      <w:r w:rsidRPr="00DB645C">
        <w:rPr>
          <w:rFonts w:ascii="Times New Roman" w:eastAsia="宋体" w:hAnsi="Times New Roman"/>
          <w:lang w:val="en-US" w:eastAsia="zh-CN"/>
        </w:rPr>
        <w:t>Given HARQ ACK/NACK report from transmitter UE to gNB has already been supported, the complexity introduced by Option 2 is trivial.</w:t>
      </w:r>
    </w:p>
    <w:p w14:paraId="16C1939A" w14:textId="77777777" w:rsidR="00A90CBE" w:rsidRPr="00DB645C" w:rsidRDefault="00A90CBE" w:rsidP="003140AE">
      <w:pPr>
        <w:spacing w:beforeLines="100" w:before="240"/>
        <w:jc w:val="both"/>
        <w:rPr>
          <w:b/>
          <w:sz w:val="22"/>
          <w:szCs w:val="22"/>
        </w:rPr>
      </w:pPr>
      <w:r w:rsidRPr="00DB645C">
        <w:rPr>
          <w:b/>
          <w:sz w:val="22"/>
          <w:szCs w:val="22"/>
        </w:rPr>
        <w:lastRenderedPageBreak/>
        <w:t xml:space="preserve">Proposal 1: </w:t>
      </w:r>
    </w:p>
    <w:p w14:paraId="496CA9BE" w14:textId="2FD6E341" w:rsidR="00AD5B52" w:rsidRPr="00DB645C" w:rsidRDefault="00941E32" w:rsidP="00A90CBE">
      <w:pPr>
        <w:pStyle w:val="a5"/>
        <w:numPr>
          <w:ilvl w:val="0"/>
          <w:numId w:val="4"/>
        </w:numPr>
        <w:jc w:val="both"/>
        <w:rPr>
          <w:rFonts w:ascii="Times New Roman" w:hAnsi="Times New Roman"/>
          <w:b/>
          <w:i/>
        </w:rPr>
      </w:pPr>
      <w:r w:rsidRPr="00DB645C">
        <w:rPr>
          <w:rFonts w:ascii="Times New Roman" w:hAnsi="Times New Roman"/>
          <w:b/>
        </w:rPr>
        <w:t>HARQ ACK/NACK report from receiver UE to gNB should be supported</w:t>
      </w:r>
      <w:r w:rsidR="00A90CBE" w:rsidRPr="00DB645C">
        <w:rPr>
          <w:rFonts w:ascii="Times New Roman" w:hAnsi="Times New Roman"/>
          <w:b/>
        </w:rPr>
        <w:t>.</w:t>
      </w:r>
    </w:p>
    <w:p w14:paraId="5E76FABD" w14:textId="5EADB5AE" w:rsidR="00AD058C" w:rsidRPr="00DB645C" w:rsidRDefault="00B76241" w:rsidP="00DB645C">
      <w:pPr>
        <w:spacing w:beforeLines="100" w:before="240"/>
        <w:jc w:val="both"/>
        <w:rPr>
          <w:sz w:val="22"/>
          <w:szCs w:val="22"/>
        </w:rPr>
      </w:pPr>
      <w:r w:rsidRPr="00DB645C">
        <w:rPr>
          <w:sz w:val="22"/>
          <w:szCs w:val="22"/>
        </w:rPr>
        <w:t xml:space="preserve">Furthermore, </w:t>
      </w:r>
      <w:r w:rsidR="00302370" w:rsidRPr="00DB645C">
        <w:rPr>
          <w:sz w:val="22"/>
          <w:szCs w:val="22"/>
        </w:rPr>
        <w:t xml:space="preserve">in NR Uu, timing between PDSCH and corresponding HARQ ACK/NACK report is indicated in DL DCI with parameter </w:t>
      </w:r>
      <w:r w:rsidR="00302370" w:rsidRPr="00DB645C">
        <w:rPr>
          <w:i/>
          <w:sz w:val="22"/>
          <w:szCs w:val="22"/>
        </w:rPr>
        <w:t>PDSCH-to-</w:t>
      </w:r>
      <w:proofErr w:type="spellStart"/>
      <w:r w:rsidR="00302370" w:rsidRPr="00DB645C">
        <w:rPr>
          <w:i/>
          <w:sz w:val="22"/>
          <w:szCs w:val="22"/>
        </w:rPr>
        <w:t>HARQ_feedback</w:t>
      </w:r>
      <w:proofErr w:type="spellEnd"/>
      <w:r w:rsidR="00302370" w:rsidRPr="00DB645C">
        <w:rPr>
          <w:i/>
          <w:sz w:val="22"/>
          <w:szCs w:val="22"/>
        </w:rPr>
        <w:t xml:space="preserve"> timing indicator</w:t>
      </w:r>
      <w:r w:rsidR="00302370" w:rsidRPr="00DB645C">
        <w:rPr>
          <w:sz w:val="22"/>
          <w:szCs w:val="22"/>
        </w:rPr>
        <w:t xml:space="preserve">, </w:t>
      </w:r>
      <w:r w:rsidR="00DB645C">
        <w:rPr>
          <w:rFonts w:hint="eastAsia"/>
          <w:sz w:val="22"/>
          <w:szCs w:val="22"/>
        </w:rPr>
        <w:t>sam</w:t>
      </w:r>
      <w:r w:rsidR="00DB645C">
        <w:rPr>
          <w:sz w:val="22"/>
          <w:szCs w:val="22"/>
        </w:rPr>
        <w:t xml:space="preserve">e information should be indicated in </w:t>
      </w:r>
      <w:r w:rsidR="00302370" w:rsidRPr="00DB645C">
        <w:rPr>
          <w:sz w:val="22"/>
          <w:szCs w:val="22"/>
        </w:rPr>
        <w:t>SL DCI</w:t>
      </w:r>
      <w:r w:rsidR="00DB645C">
        <w:rPr>
          <w:sz w:val="22"/>
          <w:szCs w:val="22"/>
        </w:rPr>
        <w:t xml:space="preserve"> as well</w:t>
      </w:r>
      <w:r w:rsidR="00302370" w:rsidRPr="00DB645C">
        <w:rPr>
          <w:sz w:val="22"/>
          <w:szCs w:val="22"/>
        </w:rPr>
        <w:t xml:space="preserve">. </w:t>
      </w:r>
      <w:r w:rsidR="00980C66" w:rsidRPr="00DB645C">
        <w:rPr>
          <w:sz w:val="22"/>
          <w:szCs w:val="22"/>
        </w:rPr>
        <w:t>As shown in Fig. 1</w:t>
      </w:r>
      <w:r w:rsidR="00C562E9" w:rsidRPr="00DB645C">
        <w:rPr>
          <w:sz w:val="22"/>
          <w:szCs w:val="22"/>
        </w:rPr>
        <w:t>of the time</w:t>
      </w:r>
      <w:r w:rsidR="00204880" w:rsidRPr="00DB645C">
        <w:rPr>
          <w:sz w:val="22"/>
          <w:szCs w:val="22"/>
        </w:rPr>
        <w:t>line for sidelink scheduling and HARQ ACK/NACK feedback from transmitter UE</w:t>
      </w:r>
      <w:r w:rsidR="00980C66" w:rsidRPr="00DB645C">
        <w:rPr>
          <w:sz w:val="22"/>
          <w:szCs w:val="22"/>
        </w:rPr>
        <w:t>, since</w:t>
      </w:r>
      <w:r w:rsidR="00302370" w:rsidRPr="00DB645C">
        <w:rPr>
          <w:sz w:val="22"/>
          <w:szCs w:val="22"/>
        </w:rPr>
        <w:t xml:space="preserve"> the interval between SL DCI and scheduled PSCCH/PSSCH</w:t>
      </w:r>
      <w:r w:rsidR="00980C66" w:rsidRPr="00DB645C">
        <w:rPr>
          <w:sz w:val="22"/>
          <w:szCs w:val="22"/>
        </w:rPr>
        <w:t xml:space="preserve"> (t0)</w:t>
      </w:r>
      <w:r w:rsidR="00302370" w:rsidRPr="00DB645C">
        <w:rPr>
          <w:sz w:val="22"/>
          <w:szCs w:val="22"/>
        </w:rPr>
        <w:t>, and the interval between PSCCH/PSSCH and associated PSFCH</w:t>
      </w:r>
      <w:r w:rsidR="00980C66" w:rsidRPr="00DB645C">
        <w:rPr>
          <w:sz w:val="22"/>
          <w:szCs w:val="22"/>
        </w:rPr>
        <w:t xml:space="preserve"> (t1)</w:t>
      </w:r>
      <w:r w:rsidR="00302370" w:rsidRPr="00DB645C">
        <w:rPr>
          <w:sz w:val="22"/>
          <w:szCs w:val="22"/>
        </w:rPr>
        <w:t xml:space="preserve"> are fixed or (pre-)</w:t>
      </w:r>
      <w:r w:rsidR="002101C5" w:rsidRPr="00DB645C">
        <w:rPr>
          <w:sz w:val="22"/>
          <w:szCs w:val="22"/>
        </w:rPr>
        <w:t xml:space="preserve"> </w:t>
      </w:r>
      <w:r w:rsidR="00302370" w:rsidRPr="00DB645C">
        <w:rPr>
          <w:sz w:val="22"/>
          <w:szCs w:val="22"/>
        </w:rPr>
        <w:t>configured</w:t>
      </w:r>
      <w:r w:rsidR="00A92653" w:rsidRPr="00DB645C">
        <w:rPr>
          <w:sz w:val="22"/>
          <w:szCs w:val="22"/>
        </w:rPr>
        <w:t>, the</w:t>
      </w:r>
      <w:r w:rsidR="00980C66" w:rsidRPr="00DB645C">
        <w:rPr>
          <w:sz w:val="22"/>
          <w:szCs w:val="22"/>
        </w:rPr>
        <w:t xml:space="preserve"> interval between PSFCH slot and the UL slot for HARQ ACK/NACK feedback</w:t>
      </w:r>
      <w:r w:rsidR="00396F1E" w:rsidRPr="00DB645C">
        <w:rPr>
          <w:sz w:val="22"/>
          <w:szCs w:val="22"/>
        </w:rPr>
        <w:t xml:space="preserve"> (t2)</w:t>
      </w:r>
      <w:r w:rsidR="00980C66" w:rsidRPr="00DB645C">
        <w:rPr>
          <w:sz w:val="22"/>
          <w:szCs w:val="22"/>
        </w:rPr>
        <w:t xml:space="preserve"> should be indicated in the SL DCI</w:t>
      </w:r>
      <w:r w:rsidR="00580359" w:rsidRPr="00DB645C">
        <w:rPr>
          <w:sz w:val="22"/>
          <w:szCs w:val="22"/>
        </w:rPr>
        <w:t xml:space="preserve">. </w:t>
      </w:r>
    </w:p>
    <w:p w14:paraId="06C7FA4D" w14:textId="4D48CCFA" w:rsidR="00AD058C" w:rsidRPr="00DB645C" w:rsidRDefault="00AD058C" w:rsidP="003140AE">
      <w:pPr>
        <w:spacing w:beforeLines="100" w:before="240"/>
        <w:jc w:val="both"/>
        <w:rPr>
          <w:b/>
          <w:sz w:val="22"/>
          <w:szCs w:val="22"/>
        </w:rPr>
      </w:pPr>
      <w:r w:rsidRPr="00DB645C">
        <w:rPr>
          <w:b/>
          <w:sz w:val="22"/>
          <w:szCs w:val="22"/>
        </w:rPr>
        <w:t xml:space="preserve">Proposal 2: </w:t>
      </w:r>
    </w:p>
    <w:p w14:paraId="57966AA9" w14:textId="2A2749B6" w:rsidR="00AD058C" w:rsidRPr="00DB645C" w:rsidRDefault="002101C5" w:rsidP="00AD058C">
      <w:pPr>
        <w:pStyle w:val="a5"/>
        <w:numPr>
          <w:ilvl w:val="0"/>
          <w:numId w:val="4"/>
        </w:numPr>
        <w:jc w:val="both"/>
        <w:rPr>
          <w:rFonts w:ascii="Times New Roman" w:hAnsi="Times New Roman"/>
          <w:b/>
        </w:rPr>
      </w:pPr>
      <w:r w:rsidRPr="00DB645C">
        <w:rPr>
          <w:rFonts w:ascii="Times New Roman" w:hAnsi="Times New Roman"/>
          <w:b/>
        </w:rPr>
        <w:t>The time interval between PSFCH and the UL slot for HARQ ACK/NACK report should be indicated in the associated SL DCI</w:t>
      </w:r>
      <w:r w:rsidR="00AD058C" w:rsidRPr="00DB645C">
        <w:rPr>
          <w:rFonts w:ascii="Times New Roman" w:hAnsi="Times New Roman"/>
          <w:b/>
        </w:rPr>
        <w:t>.</w:t>
      </w:r>
    </w:p>
    <w:p w14:paraId="4F7A4F89" w14:textId="77777777" w:rsidR="00AD058C" w:rsidRPr="00DB645C" w:rsidRDefault="00AD058C" w:rsidP="00AD058C">
      <w:pPr>
        <w:jc w:val="both"/>
        <w:rPr>
          <w:sz w:val="22"/>
          <w:szCs w:val="22"/>
        </w:rPr>
      </w:pPr>
    </w:p>
    <w:p w14:paraId="672D6CFE" w14:textId="77777777" w:rsidR="006125BB" w:rsidRPr="00DB645C" w:rsidRDefault="007F45AC" w:rsidP="007F45AC">
      <w:pPr>
        <w:jc w:val="center"/>
        <w:rPr>
          <w:sz w:val="22"/>
          <w:szCs w:val="22"/>
        </w:rPr>
      </w:pPr>
      <w:r w:rsidRPr="00DB645C">
        <w:rPr>
          <w:sz w:val="22"/>
          <w:szCs w:val="22"/>
        </w:rPr>
        <w:object w:dxaOrig="8389" w:dyaOrig="3349" w14:anchorId="41450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pt;height:167.6pt" o:ole="">
            <v:imagedata r:id="rId8" o:title=""/>
          </v:shape>
          <o:OLEObject Type="Embed" ProgID="Visio.Drawing.15" ShapeID="_x0000_i1025" DrawAspect="Content" ObjectID="_1627456516" r:id="rId9"/>
        </w:object>
      </w:r>
    </w:p>
    <w:p w14:paraId="787E4DFC" w14:textId="628A755B" w:rsidR="007F45AC" w:rsidRPr="00DB645C" w:rsidRDefault="00302370" w:rsidP="007F45AC">
      <w:pPr>
        <w:jc w:val="center"/>
        <w:rPr>
          <w:b/>
          <w:sz w:val="22"/>
          <w:szCs w:val="22"/>
        </w:rPr>
      </w:pPr>
      <w:r w:rsidRPr="00DB645C">
        <w:rPr>
          <w:b/>
          <w:sz w:val="22"/>
          <w:szCs w:val="22"/>
        </w:rPr>
        <w:t xml:space="preserve">Fig. </w:t>
      </w:r>
      <w:r w:rsidR="00980C66" w:rsidRPr="00DB645C">
        <w:rPr>
          <w:b/>
          <w:sz w:val="22"/>
          <w:szCs w:val="22"/>
        </w:rPr>
        <w:t>1 Time</w:t>
      </w:r>
      <w:r w:rsidRPr="00DB645C">
        <w:rPr>
          <w:b/>
          <w:sz w:val="22"/>
          <w:szCs w:val="22"/>
        </w:rPr>
        <w:t>line for sidelink scheduling and HARQ ACK/NACK feedback</w:t>
      </w:r>
      <w:r w:rsidR="00204880" w:rsidRPr="00DB645C">
        <w:rPr>
          <w:b/>
          <w:sz w:val="22"/>
          <w:szCs w:val="22"/>
        </w:rPr>
        <w:t xml:space="preserve"> from transmitter UE</w:t>
      </w:r>
    </w:p>
    <w:p w14:paraId="298D0A39" w14:textId="786A3947" w:rsidR="006125BB" w:rsidRPr="00DB645C" w:rsidRDefault="006125BB" w:rsidP="00DB645C">
      <w:pPr>
        <w:spacing w:beforeLines="100" w:before="240"/>
        <w:jc w:val="both"/>
        <w:rPr>
          <w:sz w:val="22"/>
          <w:szCs w:val="22"/>
        </w:rPr>
      </w:pPr>
      <w:r w:rsidRPr="00DB645C">
        <w:rPr>
          <w:sz w:val="22"/>
          <w:szCs w:val="22"/>
        </w:rPr>
        <w:t xml:space="preserve">As HARQ ACK/NACK report is not enabled for all sidelink </w:t>
      </w:r>
      <w:r w:rsidR="0005519F" w:rsidRPr="00DB645C">
        <w:rPr>
          <w:sz w:val="22"/>
          <w:szCs w:val="22"/>
        </w:rPr>
        <w:t>transmissions</w:t>
      </w:r>
      <w:r w:rsidRPr="00DB645C">
        <w:rPr>
          <w:sz w:val="22"/>
          <w:szCs w:val="22"/>
        </w:rPr>
        <w:t xml:space="preserve">, if these </w:t>
      </w:r>
      <w:r w:rsidR="0005519F" w:rsidRPr="00DB645C">
        <w:rPr>
          <w:sz w:val="22"/>
          <w:szCs w:val="22"/>
        </w:rPr>
        <w:t>sidelink transmissions</w:t>
      </w:r>
      <w:r w:rsidRPr="00DB645C">
        <w:rPr>
          <w:sz w:val="22"/>
          <w:szCs w:val="22"/>
        </w:rPr>
        <w:t xml:space="preserve"> sharing a single mode 1 resource pool,</w:t>
      </w:r>
      <w:r w:rsidR="00043E66" w:rsidRPr="00DB645C">
        <w:rPr>
          <w:sz w:val="22"/>
          <w:szCs w:val="22"/>
        </w:rPr>
        <w:t xml:space="preserve"> </w:t>
      </w:r>
      <w:r w:rsidRPr="00DB645C">
        <w:rPr>
          <w:sz w:val="22"/>
          <w:szCs w:val="22"/>
        </w:rPr>
        <w:t xml:space="preserve">it needs to indicate in the SL DCI that if the sidelink grant </w:t>
      </w:r>
      <w:r w:rsidR="00043E66" w:rsidRPr="00DB645C">
        <w:rPr>
          <w:sz w:val="22"/>
          <w:szCs w:val="22"/>
        </w:rPr>
        <w:t>is used</w:t>
      </w:r>
      <w:r w:rsidRPr="00DB645C">
        <w:rPr>
          <w:sz w:val="22"/>
          <w:szCs w:val="22"/>
        </w:rPr>
        <w:t xml:space="preserve"> for</w:t>
      </w:r>
      <w:r w:rsidR="0005519F" w:rsidRPr="00DB645C">
        <w:rPr>
          <w:sz w:val="22"/>
          <w:szCs w:val="22"/>
        </w:rPr>
        <w:t xml:space="preserve"> sidelink transmissions for</w:t>
      </w:r>
      <w:r w:rsidRPr="00DB645C">
        <w:rPr>
          <w:sz w:val="22"/>
          <w:szCs w:val="22"/>
        </w:rPr>
        <w:t xml:space="preserve"> which HARQ ACK/NACK report is enabled, </w:t>
      </w:r>
      <w:r w:rsidR="00043E66" w:rsidRPr="00DB645C">
        <w:rPr>
          <w:sz w:val="22"/>
          <w:szCs w:val="22"/>
        </w:rPr>
        <w:t xml:space="preserve">or </w:t>
      </w:r>
      <w:r w:rsidR="0005519F" w:rsidRPr="00DB645C">
        <w:rPr>
          <w:sz w:val="22"/>
          <w:szCs w:val="22"/>
        </w:rPr>
        <w:t>sidelink transmissions</w:t>
      </w:r>
      <w:r w:rsidR="00043E66" w:rsidRPr="00DB645C">
        <w:rPr>
          <w:sz w:val="22"/>
          <w:szCs w:val="22"/>
        </w:rPr>
        <w:t xml:space="preserve"> for which HARQ ACK/NACK report is not enabled, </w:t>
      </w:r>
      <w:r w:rsidRPr="00DB645C">
        <w:rPr>
          <w:sz w:val="22"/>
          <w:szCs w:val="22"/>
        </w:rPr>
        <w:t>suc</w:t>
      </w:r>
      <w:r w:rsidR="004F0930">
        <w:rPr>
          <w:sz w:val="22"/>
          <w:szCs w:val="22"/>
        </w:rPr>
        <w:t>h that gNB and UE can behave</w:t>
      </w:r>
      <w:r w:rsidRPr="00DB645C">
        <w:rPr>
          <w:sz w:val="22"/>
          <w:szCs w:val="22"/>
        </w:rPr>
        <w:t xml:space="preserve"> consistently. </w:t>
      </w:r>
    </w:p>
    <w:p w14:paraId="5A7D2B29" w14:textId="4BDB341F" w:rsidR="006125BB" w:rsidRPr="00DB645C" w:rsidRDefault="006125BB" w:rsidP="003140AE">
      <w:pPr>
        <w:spacing w:beforeLines="100" w:before="240"/>
        <w:jc w:val="both"/>
        <w:rPr>
          <w:b/>
          <w:sz w:val="22"/>
          <w:szCs w:val="22"/>
        </w:rPr>
      </w:pPr>
      <w:r w:rsidRPr="00DB645C">
        <w:rPr>
          <w:b/>
          <w:sz w:val="22"/>
          <w:szCs w:val="22"/>
        </w:rPr>
        <w:t xml:space="preserve">Proposal 3: </w:t>
      </w:r>
    </w:p>
    <w:p w14:paraId="24E21515" w14:textId="71C84346" w:rsidR="006125BB" w:rsidRPr="00DB645C" w:rsidRDefault="00043E66" w:rsidP="00B05AA2">
      <w:pPr>
        <w:pStyle w:val="a5"/>
        <w:numPr>
          <w:ilvl w:val="0"/>
          <w:numId w:val="4"/>
        </w:numPr>
        <w:jc w:val="both"/>
        <w:rPr>
          <w:rFonts w:ascii="Times New Roman" w:hAnsi="Times New Roman"/>
          <w:b/>
        </w:rPr>
      </w:pPr>
      <w:r w:rsidRPr="00DB645C">
        <w:rPr>
          <w:rFonts w:ascii="Times New Roman" w:hAnsi="Times New Roman"/>
          <w:b/>
        </w:rPr>
        <w:t xml:space="preserve">One field in SL DCI should be used to indicate if the SL grant is used for </w:t>
      </w:r>
      <w:r w:rsidR="00B05AA2" w:rsidRPr="00DB645C">
        <w:rPr>
          <w:rFonts w:ascii="Times New Roman" w:hAnsi="Times New Roman"/>
          <w:b/>
        </w:rPr>
        <w:t>sidelink transmissions</w:t>
      </w:r>
      <w:r w:rsidRPr="00DB645C">
        <w:rPr>
          <w:rFonts w:ascii="Times New Roman" w:hAnsi="Times New Roman"/>
          <w:b/>
        </w:rPr>
        <w:t xml:space="preserve"> for which HARQ </w:t>
      </w:r>
      <w:r w:rsidR="00B05AA2" w:rsidRPr="00DB645C">
        <w:rPr>
          <w:rFonts w:ascii="Times New Roman" w:hAnsi="Times New Roman"/>
          <w:b/>
        </w:rPr>
        <w:t>ACK/NACK report is enabled, or sidelink transmissions</w:t>
      </w:r>
      <w:r w:rsidRPr="00DB645C">
        <w:rPr>
          <w:rFonts w:ascii="Times New Roman" w:hAnsi="Times New Roman"/>
          <w:b/>
        </w:rPr>
        <w:t xml:space="preserve"> for which HARQ ACK/NACK report is not enabled</w:t>
      </w:r>
      <w:r w:rsidR="006125BB" w:rsidRPr="00DB645C">
        <w:rPr>
          <w:rFonts w:ascii="Times New Roman" w:hAnsi="Times New Roman"/>
          <w:b/>
        </w:rPr>
        <w:t>.</w:t>
      </w:r>
    </w:p>
    <w:p w14:paraId="3B9931CB" w14:textId="2BC7A3C2" w:rsidR="00414977" w:rsidRPr="00DB645C" w:rsidRDefault="00D22B4D" w:rsidP="003140AE">
      <w:pPr>
        <w:spacing w:beforeLines="100" w:before="240" w:after="120"/>
        <w:jc w:val="both"/>
        <w:rPr>
          <w:b/>
          <w:sz w:val="22"/>
          <w:szCs w:val="22"/>
          <w:u w:val="single"/>
        </w:rPr>
      </w:pPr>
      <w:r w:rsidRPr="00DB645C">
        <w:rPr>
          <w:b/>
          <w:sz w:val="22"/>
          <w:szCs w:val="22"/>
          <w:u w:val="single"/>
        </w:rPr>
        <w:t>Configured SL grant</w:t>
      </w:r>
    </w:p>
    <w:p w14:paraId="38785765" w14:textId="1BFC3589" w:rsidR="00995D3E" w:rsidRPr="00DB645C" w:rsidRDefault="002A7EEA" w:rsidP="00E3220C">
      <w:pPr>
        <w:spacing w:afterLines="100" w:after="240"/>
        <w:jc w:val="both"/>
        <w:rPr>
          <w:rFonts w:hint="eastAsia"/>
          <w:sz w:val="22"/>
          <w:szCs w:val="22"/>
        </w:rPr>
      </w:pPr>
      <w:bookmarkStart w:id="0" w:name="OLE_LINK3"/>
      <w:bookmarkStart w:id="1" w:name="OLE_LINK4"/>
      <w:r w:rsidRPr="00DB645C">
        <w:rPr>
          <w:sz w:val="22"/>
          <w:szCs w:val="22"/>
        </w:rPr>
        <w:t>Following agreement</w:t>
      </w:r>
      <w:r w:rsidR="00D22B4D" w:rsidRPr="00DB645C">
        <w:rPr>
          <w:sz w:val="22"/>
          <w:szCs w:val="22"/>
        </w:rPr>
        <w:t>s</w:t>
      </w:r>
      <w:r w:rsidRPr="00DB645C">
        <w:rPr>
          <w:sz w:val="22"/>
          <w:szCs w:val="22"/>
        </w:rPr>
        <w:t xml:space="preserve"> w</w:t>
      </w:r>
      <w:r w:rsidR="00D22B4D" w:rsidRPr="00DB645C">
        <w:rPr>
          <w:sz w:val="22"/>
          <w:szCs w:val="22"/>
        </w:rPr>
        <w:t>ere</w:t>
      </w:r>
      <w:r w:rsidRPr="00DB645C">
        <w:rPr>
          <w:sz w:val="22"/>
          <w:szCs w:val="22"/>
        </w:rPr>
        <w:t xml:space="preserve"> made in</w:t>
      </w:r>
      <w:r w:rsidR="00995D3E" w:rsidRPr="00DB645C">
        <w:rPr>
          <w:sz w:val="22"/>
          <w:szCs w:val="22"/>
        </w:rPr>
        <w:t xml:space="preserve"> RAN1</w:t>
      </w:r>
      <w:r w:rsidRPr="00DB645C">
        <w:rPr>
          <w:sz w:val="22"/>
          <w:szCs w:val="22"/>
        </w:rPr>
        <w:t xml:space="preserve"> </w:t>
      </w:r>
      <w:r w:rsidR="00E074B5" w:rsidRPr="00DB645C">
        <w:rPr>
          <w:sz w:val="22"/>
          <w:szCs w:val="22"/>
        </w:rPr>
        <w:t>Ad-Hoc Meeting 1901</w:t>
      </w:r>
      <w:r w:rsidR="005328F5" w:rsidRPr="00DB645C">
        <w:rPr>
          <w:sz w:val="22"/>
          <w:szCs w:val="22"/>
        </w:rPr>
        <w:fldChar w:fldCharType="begin"/>
      </w:r>
      <w:r w:rsidR="005328F5" w:rsidRPr="00DB645C">
        <w:rPr>
          <w:sz w:val="22"/>
          <w:szCs w:val="22"/>
        </w:rPr>
        <w:instrText xml:space="preserve"> REF _Ref525032988 \r \h </w:instrText>
      </w:r>
      <w:r w:rsidR="005328F5" w:rsidRPr="00DB645C">
        <w:rPr>
          <w:sz w:val="22"/>
          <w:szCs w:val="22"/>
        </w:rPr>
      </w:r>
      <w:r w:rsidR="00DB645C" w:rsidRPr="00DB645C">
        <w:rPr>
          <w:sz w:val="22"/>
          <w:szCs w:val="22"/>
        </w:rPr>
        <w:instrText xml:space="preserve"> \* MERGEFORMAT </w:instrText>
      </w:r>
      <w:r w:rsidR="005328F5" w:rsidRPr="00DB645C">
        <w:rPr>
          <w:sz w:val="22"/>
          <w:szCs w:val="22"/>
        </w:rPr>
        <w:fldChar w:fldCharType="separate"/>
      </w:r>
      <w:r w:rsidR="005328F5" w:rsidRPr="00DB645C">
        <w:rPr>
          <w:sz w:val="22"/>
          <w:szCs w:val="22"/>
        </w:rPr>
        <w:t>[3]</w:t>
      </w:r>
      <w:r w:rsidR="005328F5" w:rsidRPr="00DB645C">
        <w:rPr>
          <w:sz w:val="22"/>
          <w:szCs w:val="22"/>
        </w:rPr>
        <w:fldChar w:fldCharType="end"/>
      </w:r>
      <w:r w:rsidR="00995D3E" w:rsidRPr="00DB645C">
        <w:rPr>
          <w:sz w:val="22"/>
          <w:szCs w:val="22"/>
        </w:rPr>
        <w:t>:</w:t>
      </w:r>
    </w:p>
    <w:tbl>
      <w:tblPr>
        <w:tblStyle w:val="ac"/>
        <w:tblW w:w="0" w:type="auto"/>
        <w:tblLook w:val="04A0" w:firstRow="1" w:lastRow="0" w:firstColumn="1" w:lastColumn="0" w:noHBand="0" w:noVBand="1"/>
      </w:tblPr>
      <w:tblGrid>
        <w:gridCol w:w="9016"/>
      </w:tblGrid>
      <w:tr w:rsidR="00995D3E" w:rsidRPr="00DB645C" w14:paraId="56A998E7" w14:textId="77777777" w:rsidTr="00995D3E">
        <w:tc>
          <w:tcPr>
            <w:tcW w:w="9016" w:type="dxa"/>
          </w:tcPr>
          <w:p w14:paraId="004488CA" w14:textId="77777777" w:rsidR="00D22B4D" w:rsidRPr="00DB645C" w:rsidRDefault="00D22B4D" w:rsidP="00D22B4D">
            <w:pPr>
              <w:rPr>
                <w:rFonts w:ascii="Times" w:eastAsia="Batang" w:hAnsi="Times"/>
                <w:sz w:val="22"/>
                <w:szCs w:val="22"/>
                <w:lang w:val="en-GB" w:eastAsia="x-none"/>
              </w:rPr>
            </w:pPr>
            <w:r w:rsidRPr="00DB645C">
              <w:rPr>
                <w:rFonts w:ascii="Times" w:eastAsia="Batang" w:hAnsi="Times"/>
                <w:sz w:val="22"/>
                <w:szCs w:val="22"/>
                <w:highlight w:val="green"/>
                <w:lang w:val="en-GB" w:eastAsia="x-none"/>
              </w:rPr>
              <w:t>Agreements</w:t>
            </w:r>
            <w:r w:rsidRPr="00DB645C">
              <w:rPr>
                <w:rFonts w:ascii="Times" w:eastAsia="Batang" w:hAnsi="Times"/>
                <w:sz w:val="22"/>
                <w:szCs w:val="22"/>
                <w:lang w:val="en-GB" w:eastAsia="x-none"/>
              </w:rPr>
              <w:t>:</w:t>
            </w:r>
          </w:p>
          <w:p w14:paraId="6B90FE3A" w14:textId="2CF2B1E2" w:rsidR="00D22B4D" w:rsidRPr="00DB645C" w:rsidRDefault="00D22B4D" w:rsidP="00D22B4D">
            <w:pPr>
              <w:rPr>
                <w:rFonts w:eastAsia="Batang"/>
                <w:sz w:val="22"/>
                <w:szCs w:val="22"/>
                <w:lang w:val="en-GB" w:eastAsia="x-none"/>
              </w:rPr>
            </w:pPr>
            <w:r w:rsidRPr="00DB645C">
              <w:rPr>
                <w:rFonts w:eastAsia="Batang"/>
                <w:sz w:val="22"/>
                <w:szCs w:val="22"/>
                <w:lang w:val="en-GB" w:eastAsia="x-none"/>
              </w:rPr>
              <w:t>When NR Uu schedules NR SL mode 1, both type 1 and type 2 configured grants are supported for NR SL</w:t>
            </w:r>
          </w:p>
          <w:p w14:paraId="759EE877" w14:textId="77777777" w:rsidR="00D22B4D" w:rsidRPr="00DB645C" w:rsidRDefault="00D22B4D" w:rsidP="00D22B4D">
            <w:pPr>
              <w:rPr>
                <w:rFonts w:ascii="Times" w:eastAsia="Batang" w:hAnsi="Times"/>
                <w:sz w:val="22"/>
                <w:szCs w:val="22"/>
                <w:highlight w:val="green"/>
                <w:lang w:val="en-GB" w:eastAsia="x-none"/>
              </w:rPr>
            </w:pPr>
          </w:p>
          <w:p w14:paraId="73BF65D8" w14:textId="24B5BFEF" w:rsidR="00995D3E" w:rsidRPr="00DB645C" w:rsidRDefault="00995D3E" w:rsidP="00995D3E">
            <w:pPr>
              <w:rPr>
                <w:rFonts w:ascii="Times" w:eastAsia="Batang" w:hAnsi="Times"/>
                <w:sz w:val="22"/>
                <w:szCs w:val="22"/>
                <w:lang w:val="en-GB" w:eastAsia="x-none"/>
              </w:rPr>
            </w:pPr>
            <w:r w:rsidRPr="00DB645C">
              <w:rPr>
                <w:rFonts w:ascii="Times" w:eastAsia="Batang" w:hAnsi="Times"/>
                <w:sz w:val="22"/>
                <w:szCs w:val="22"/>
                <w:highlight w:val="green"/>
                <w:lang w:val="en-GB" w:eastAsia="x-none"/>
              </w:rPr>
              <w:t>Agreements</w:t>
            </w:r>
            <w:r w:rsidRPr="00DB645C">
              <w:rPr>
                <w:rFonts w:ascii="Times" w:eastAsia="Batang" w:hAnsi="Times"/>
                <w:sz w:val="22"/>
                <w:szCs w:val="22"/>
                <w:lang w:val="en-GB" w:eastAsia="x-none"/>
              </w:rPr>
              <w:t>:</w:t>
            </w:r>
          </w:p>
          <w:p w14:paraId="10B3021D" w14:textId="77777777" w:rsidR="00995D3E" w:rsidRPr="00DB645C" w:rsidRDefault="00995D3E" w:rsidP="00995D3E">
            <w:pPr>
              <w:numPr>
                <w:ilvl w:val="0"/>
                <w:numId w:val="21"/>
              </w:numPr>
              <w:spacing w:after="160" w:line="259" w:lineRule="auto"/>
              <w:contextualSpacing/>
              <w:rPr>
                <w:rFonts w:eastAsia="Batang"/>
                <w:sz w:val="22"/>
                <w:szCs w:val="22"/>
                <w:lang w:val="en-GB" w:eastAsia="x-none"/>
              </w:rPr>
            </w:pPr>
            <w:r w:rsidRPr="00DB645C">
              <w:rPr>
                <w:rFonts w:eastAsia="Batang"/>
                <w:sz w:val="22"/>
                <w:szCs w:val="22"/>
                <w:lang w:val="en-GB" w:eastAsia="x-none"/>
              </w:rPr>
              <w:t xml:space="preserve">LTE Uu to schedule NR sidelink mode 1 is supported: </w:t>
            </w:r>
          </w:p>
          <w:p w14:paraId="3E64C2B7" w14:textId="77777777" w:rsidR="00995D3E" w:rsidRPr="00DB645C" w:rsidRDefault="00995D3E" w:rsidP="00995D3E">
            <w:pPr>
              <w:numPr>
                <w:ilvl w:val="1"/>
                <w:numId w:val="21"/>
              </w:numPr>
              <w:spacing w:after="160" w:line="259" w:lineRule="auto"/>
              <w:contextualSpacing/>
              <w:rPr>
                <w:rFonts w:eastAsia="Batang"/>
                <w:sz w:val="22"/>
                <w:szCs w:val="22"/>
                <w:lang w:val="en-GB" w:eastAsia="x-none"/>
              </w:rPr>
            </w:pPr>
            <w:r w:rsidRPr="00DB645C">
              <w:rPr>
                <w:rFonts w:eastAsia="Batang"/>
                <w:sz w:val="22"/>
                <w:szCs w:val="22"/>
                <w:lang w:val="en-GB" w:eastAsia="x-none"/>
              </w:rPr>
              <w:t>The support is d</w:t>
            </w:r>
            <w:bookmarkStart w:id="2" w:name="_GoBack"/>
            <w:bookmarkEnd w:id="2"/>
            <w:r w:rsidRPr="00DB645C">
              <w:rPr>
                <w:rFonts w:eastAsia="Batang"/>
                <w:sz w:val="22"/>
                <w:szCs w:val="22"/>
                <w:lang w:val="en-GB" w:eastAsia="x-none"/>
              </w:rPr>
              <w:t>one based on type 1 configured grant with configuration restricted to time/frequency resources &amp; periodicity, with the condition that no additional function/procedure is to be introduced for LTE Uu</w:t>
            </w:r>
          </w:p>
          <w:p w14:paraId="0F9EB59A" w14:textId="0565EA16" w:rsidR="00995D3E" w:rsidRPr="00DB645C" w:rsidRDefault="00995D3E" w:rsidP="00995D3E">
            <w:pPr>
              <w:numPr>
                <w:ilvl w:val="1"/>
                <w:numId w:val="21"/>
              </w:numPr>
              <w:spacing w:after="160" w:line="259" w:lineRule="auto"/>
              <w:contextualSpacing/>
              <w:rPr>
                <w:rFonts w:eastAsia="Batang"/>
                <w:sz w:val="22"/>
                <w:szCs w:val="22"/>
                <w:lang w:val="en-GB" w:eastAsia="x-none"/>
              </w:rPr>
            </w:pPr>
            <w:r w:rsidRPr="00DB645C">
              <w:rPr>
                <w:rFonts w:eastAsia="Batang"/>
                <w:sz w:val="22"/>
                <w:szCs w:val="22"/>
                <w:lang w:val="en-GB" w:eastAsia="x-none"/>
              </w:rPr>
              <w:lastRenderedPageBreak/>
              <w:t>Both DCI based scheduling and type 2 configured grant scheduling are not supported for scheduling NR sidelink mode 1</w:t>
            </w:r>
          </w:p>
        </w:tc>
      </w:tr>
    </w:tbl>
    <w:bookmarkEnd w:id="0"/>
    <w:bookmarkEnd w:id="1"/>
    <w:p w14:paraId="1F1CD6FA" w14:textId="34791EBE" w:rsidR="002A6657" w:rsidRPr="00DB645C" w:rsidRDefault="00995D3E" w:rsidP="003140AE">
      <w:pPr>
        <w:spacing w:beforeLines="100" w:before="240"/>
        <w:jc w:val="both"/>
        <w:rPr>
          <w:sz w:val="22"/>
          <w:szCs w:val="22"/>
        </w:rPr>
      </w:pPr>
      <w:r w:rsidRPr="00DB645C">
        <w:rPr>
          <w:sz w:val="22"/>
          <w:szCs w:val="22"/>
        </w:rPr>
        <w:lastRenderedPageBreak/>
        <w:t xml:space="preserve">As captured in the agreement, type 1 configured sidelink grant </w:t>
      </w:r>
      <w:r w:rsidR="00CD3416" w:rsidRPr="00DB645C">
        <w:rPr>
          <w:sz w:val="22"/>
          <w:szCs w:val="22"/>
        </w:rPr>
        <w:t xml:space="preserve">can be configured by </w:t>
      </w:r>
      <w:r w:rsidR="00B7334B" w:rsidRPr="00DB645C">
        <w:rPr>
          <w:sz w:val="22"/>
          <w:szCs w:val="22"/>
        </w:rPr>
        <w:t>either eNB or</w:t>
      </w:r>
      <w:r w:rsidR="00CD3416" w:rsidRPr="00DB645C">
        <w:rPr>
          <w:sz w:val="22"/>
          <w:szCs w:val="22"/>
        </w:rPr>
        <w:t xml:space="preserve"> gNB, and type 2 configured grant can only be configured by gNB. A</w:t>
      </w:r>
      <w:r w:rsidR="004D2A47" w:rsidRPr="00DB645C">
        <w:rPr>
          <w:sz w:val="22"/>
          <w:szCs w:val="22"/>
        </w:rPr>
        <w:t>s eNB</w:t>
      </w:r>
      <w:r w:rsidR="00CD3416" w:rsidRPr="00DB645C">
        <w:rPr>
          <w:sz w:val="22"/>
          <w:szCs w:val="22"/>
        </w:rPr>
        <w:t>/gNB</w:t>
      </w:r>
      <w:r w:rsidR="004D2A47" w:rsidRPr="00DB645C">
        <w:rPr>
          <w:sz w:val="22"/>
          <w:szCs w:val="22"/>
        </w:rPr>
        <w:t xml:space="preserve"> may not be able to monitor sidelink transmissions, some mechanism to release the sidelink configured grant is necessary, e.g. when UE </w:t>
      </w:r>
      <w:r w:rsidR="00CD3416" w:rsidRPr="00DB645C">
        <w:rPr>
          <w:sz w:val="22"/>
          <w:szCs w:val="22"/>
        </w:rPr>
        <w:t>has</w:t>
      </w:r>
      <w:r w:rsidR="004D2A47" w:rsidRPr="00DB645C">
        <w:rPr>
          <w:sz w:val="22"/>
          <w:szCs w:val="22"/>
        </w:rPr>
        <w:t xml:space="preserve"> no data to transmit for X periods, or after the expiry of a certain timer, and UE should report the release of configured sidelink grant to eNB</w:t>
      </w:r>
      <w:r w:rsidR="00CD3416" w:rsidRPr="00DB645C">
        <w:rPr>
          <w:sz w:val="22"/>
          <w:szCs w:val="22"/>
        </w:rPr>
        <w:t>/gNB such that the released resources can be reused</w:t>
      </w:r>
      <w:r w:rsidR="004D2A47" w:rsidRPr="00DB645C">
        <w:rPr>
          <w:sz w:val="22"/>
          <w:szCs w:val="22"/>
        </w:rPr>
        <w:t>.</w:t>
      </w:r>
    </w:p>
    <w:p w14:paraId="1D1C3BCC" w14:textId="5E3EDD27" w:rsidR="00BE1F8A" w:rsidRPr="00DB645C" w:rsidRDefault="004D2A47" w:rsidP="003140AE">
      <w:pPr>
        <w:spacing w:beforeLines="100" w:before="240"/>
        <w:jc w:val="both"/>
        <w:rPr>
          <w:b/>
          <w:sz w:val="22"/>
          <w:szCs w:val="22"/>
        </w:rPr>
      </w:pPr>
      <w:r w:rsidRPr="00DB645C">
        <w:rPr>
          <w:b/>
          <w:sz w:val="22"/>
          <w:szCs w:val="22"/>
        </w:rPr>
        <w:t xml:space="preserve">Proposal </w:t>
      </w:r>
      <w:r w:rsidR="00845367" w:rsidRPr="00DB645C">
        <w:rPr>
          <w:b/>
          <w:sz w:val="22"/>
          <w:szCs w:val="22"/>
        </w:rPr>
        <w:t>4</w:t>
      </w:r>
      <w:r w:rsidRPr="00DB645C">
        <w:rPr>
          <w:b/>
          <w:sz w:val="22"/>
          <w:szCs w:val="22"/>
        </w:rPr>
        <w:t xml:space="preserve">: </w:t>
      </w:r>
    </w:p>
    <w:p w14:paraId="08D0F7BF" w14:textId="48B76577" w:rsidR="004D2A47" w:rsidRPr="00DB645C" w:rsidRDefault="004D2A47" w:rsidP="00BE1F8A">
      <w:pPr>
        <w:pStyle w:val="a5"/>
        <w:numPr>
          <w:ilvl w:val="0"/>
          <w:numId w:val="4"/>
        </w:numPr>
        <w:jc w:val="both"/>
        <w:rPr>
          <w:rFonts w:ascii="Times New Roman" w:hAnsi="Times New Roman"/>
          <w:b/>
        </w:rPr>
      </w:pPr>
      <w:r w:rsidRPr="00DB645C">
        <w:rPr>
          <w:rFonts w:ascii="Times New Roman" w:hAnsi="Times New Roman"/>
          <w:b/>
        </w:rPr>
        <w:t xml:space="preserve">Criteria for autonomously release </w:t>
      </w:r>
      <w:r w:rsidR="0034210A" w:rsidRPr="00DB645C">
        <w:rPr>
          <w:rFonts w:ascii="Times New Roman" w:hAnsi="Times New Roman"/>
          <w:b/>
        </w:rPr>
        <w:t>of the</w:t>
      </w:r>
      <w:r w:rsidR="00D83E97" w:rsidRPr="00DB645C">
        <w:rPr>
          <w:rFonts w:ascii="Times New Roman" w:hAnsi="Times New Roman"/>
          <w:b/>
        </w:rPr>
        <w:t xml:space="preserve"> configured</w:t>
      </w:r>
      <w:r w:rsidRPr="00DB645C">
        <w:rPr>
          <w:rFonts w:ascii="Times New Roman" w:hAnsi="Times New Roman"/>
          <w:b/>
        </w:rPr>
        <w:t xml:space="preserve"> sidelink grant should be </w:t>
      </w:r>
      <w:r w:rsidR="00D83E97" w:rsidRPr="00DB645C">
        <w:rPr>
          <w:rFonts w:ascii="Times New Roman" w:hAnsi="Times New Roman"/>
          <w:b/>
        </w:rPr>
        <w:t>specified</w:t>
      </w:r>
      <w:r w:rsidRPr="00DB645C">
        <w:rPr>
          <w:rFonts w:ascii="Times New Roman" w:hAnsi="Times New Roman"/>
          <w:b/>
        </w:rPr>
        <w:t>, and UE should report the release of configured sidelink grant to eNB</w:t>
      </w:r>
      <w:r w:rsidR="00D83E97" w:rsidRPr="00DB645C">
        <w:rPr>
          <w:rFonts w:ascii="Times New Roman" w:hAnsi="Times New Roman"/>
          <w:b/>
        </w:rPr>
        <w:t>/gNB</w:t>
      </w:r>
      <w:r w:rsidRPr="00DB645C">
        <w:rPr>
          <w:rFonts w:ascii="Times New Roman" w:hAnsi="Times New Roman"/>
          <w:b/>
        </w:rPr>
        <w:t>.</w:t>
      </w:r>
    </w:p>
    <w:p w14:paraId="17E1C489" w14:textId="564B0FBA" w:rsidR="00B75839" w:rsidRPr="00DB645C" w:rsidRDefault="00B75839" w:rsidP="003140AE">
      <w:pPr>
        <w:spacing w:beforeLines="100" w:before="240"/>
        <w:jc w:val="both"/>
        <w:rPr>
          <w:sz w:val="22"/>
          <w:szCs w:val="22"/>
        </w:rPr>
      </w:pPr>
      <w:r w:rsidRPr="00DB645C">
        <w:rPr>
          <w:rFonts w:hint="eastAsia"/>
          <w:sz w:val="22"/>
          <w:szCs w:val="22"/>
        </w:rPr>
        <w:t>I</w:t>
      </w:r>
      <w:r w:rsidRPr="00DB645C">
        <w:rPr>
          <w:sz w:val="22"/>
          <w:szCs w:val="22"/>
        </w:rPr>
        <w:t>n LTE V2X, up to 8 sidelink SPS can be configured to support multiple traffic types. The similar design should be maintain</w:t>
      </w:r>
      <w:r w:rsidR="00CA01BF" w:rsidRPr="00DB645C">
        <w:rPr>
          <w:sz w:val="22"/>
          <w:szCs w:val="22"/>
        </w:rPr>
        <w:t>ed</w:t>
      </w:r>
      <w:r w:rsidRPr="00DB645C">
        <w:rPr>
          <w:sz w:val="22"/>
          <w:szCs w:val="22"/>
        </w:rPr>
        <w:t xml:space="preserve"> in NR V2X. </w:t>
      </w:r>
    </w:p>
    <w:p w14:paraId="2FC4C9D6" w14:textId="6384CBA9" w:rsidR="0033476F" w:rsidRPr="00DB645C" w:rsidRDefault="0033476F" w:rsidP="003140AE">
      <w:pPr>
        <w:spacing w:beforeLines="100" w:before="240"/>
        <w:jc w:val="both"/>
        <w:rPr>
          <w:b/>
          <w:sz w:val="22"/>
          <w:szCs w:val="22"/>
        </w:rPr>
      </w:pPr>
      <w:r w:rsidRPr="00DB645C">
        <w:rPr>
          <w:b/>
          <w:sz w:val="22"/>
          <w:szCs w:val="22"/>
        </w:rPr>
        <w:t xml:space="preserve">Proposal </w:t>
      </w:r>
      <w:r w:rsidR="00845367" w:rsidRPr="00DB645C">
        <w:rPr>
          <w:b/>
          <w:sz w:val="22"/>
          <w:szCs w:val="22"/>
        </w:rPr>
        <w:t>5</w:t>
      </w:r>
      <w:r w:rsidRPr="00DB645C">
        <w:rPr>
          <w:b/>
          <w:sz w:val="22"/>
          <w:szCs w:val="22"/>
        </w:rPr>
        <w:t xml:space="preserve">: </w:t>
      </w:r>
    </w:p>
    <w:p w14:paraId="2B7FD083" w14:textId="2C729049" w:rsidR="0033476F" w:rsidRPr="00DB645C" w:rsidRDefault="00B75839" w:rsidP="00B67F01">
      <w:pPr>
        <w:pStyle w:val="a5"/>
        <w:numPr>
          <w:ilvl w:val="0"/>
          <w:numId w:val="4"/>
        </w:numPr>
        <w:jc w:val="both"/>
        <w:rPr>
          <w:rFonts w:ascii="Times New Roman" w:hAnsi="Times New Roman"/>
          <w:b/>
        </w:rPr>
      </w:pPr>
      <w:r w:rsidRPr="00DB645C">
        <w:rPr>
          <w:rFonts w:ascii="Times New Roman" w:hAnsi="Times New Roman"/>
          <w:b/>
        </w:rPr>
        <w:t xml:space="preserve">Multiple </w:t>
      </w:r>
      <w:r w:rsidR="00C60FE9" w:rsidRPr="00DB645C">
        <w:rPr>
          <w:rFonts w:ascii="Times New Roman" w:hAnsi="Times New Roman"/>
          <w:b/>
        </w:rPr>
        <w:t xml:space="preserve">configured </w:t>
      </w:r>
      <w:r w:rsidRPr="00DB645C">
        <w:rPr>
          <w:rFonts w:ascii="Times New Roman" w:hAnsi="Times New Roman"/>
          <w:b/>
        </w:rPr>
        <w:t>sidelink grant</w:t>
      </w:r>
      <w:r w:rsidR="00C60FE9" w:rsidRPr="00DB645C">
        <w:rPr>
          <w:rFonts w:ascii="Times New Roman" w:hAnsi="Times New Roman"/>
          <w:b/>
        </w:rPr>
        <w:t>s</w:t>
      </w:r>
      <w:r w:rsidRPr="00DB645C">
        <w:rPr>
          <w:rFonts w:ascii="Times New Roman" w:hAnsi="Times New Roman"/>
          <w:b/>
        </w:rPr>
        <w:t xml:space="preserve"> should be supported in NR V2X</w:t>
      </w:r>
      <w:r w:rsidR="0033476F" w:rsidRPr="00DB645C">
        <w:rPr>
          <w:rFonts w:ascii="Times New Roman" w:hAnsi="Times New Roman"/>
          <w:b/>
        </w:rPr>
        <w:t>.</w:t>
      </w:r>
    </w:p>
    <w:p w14:paraId="07F1A32A" w14:textId="213341EE" w:rsidR="00CD37E5" w:rsidRPr="003140AE" w:rsidRDefault="00CD37E5" w:rsidP="003140AE">
      <w:pPr>
        <w:spacing w:beforeLines="100" w:before="240"/>
        <w:jc w:val="both"/>
        <w:rPr>
          <w:sz w:val="22"/>
          <w:szCs w:val="22"/>
        </w:rPr>
      </w:pPr>
      <w:r w:rsidRPr="003140AE">
        <w:rPr>
          <w:sz w:val="22"/>
          <w:szCs w:val="22"/>
        </w:rPr>
        <w:t>As agreed in the SI phase, resource pool is supported for NR sidelink</w:t>
      </w:r>
      <w:r w:rsidR="00DE068D" w:rsidRPr="003140AE">
        <w:rPr>
          <w:sz w:val="22"/>
          <w:szCs w:val="22"/>
        </w:rPr>
        <w:t xml:space="preserve">. And in a configured sidelink grant, time domain resources are indicated </w:t>
      </w:r>
      <w:r w:rsidR="00ED6CBA" w:rsidRPr="003140AE">
        <w:rPr>
          <w:sz w:val="22"/>
          <w:szCs w:val="22"/>
        </w:rPr>
        <w:t>by means of</w:t>
      </w:r>
      <w:r w:rsidR="00DE068D" w:rsidRPr="003140AE">
        <w:rPr>
          <w:sz w:val="22"/>
          <w:szCs w:val="22"/>
        </w:rPr>
        <w:t xml:space="preserve"> periodicity and time offset. As</w:t>
      </w:r>
      <w:r w:rsidRPr="003140AE">
        <w:rPr>
          <w:sz w:val="22"/>
          <w:szCs w:val="22"/>
        </w:rPr>
        <w:t xml:space="preserve"> all resources in one configured sidelink grant should be within one resourc</w:t>
      </w:r>
      <w:r w:rsidR="00DE068D" w:rsidRPr="003140AE">
        <w:rPr>
          <w:sz w:val="22"/>
          <w:szCs w:val="22"/>
        </w:rPr>
        <w:t>e pool, the periodicity and time offset used for time domain resource configuration should all be interpreted as number of slots/symbols in resource pool.</w:t>
      </w:r>
    </w:p>
    <w:p w14:paraId="24F85EE9" w14:textId="34A98A3B" w:rsidR="006725B5" w:rsidRPr="00DB645C" w:rsidRDefault="006725B5" w:rsidP="003140AE">
      <w:pPr>
        <w:spacing w:beforeLines="100" w:before="240"/>
        <w:jc w:val="both"/>
        <w:rPr>
          <w:b/>
          <w:sz w:val="22"/>
          <w:szCs w:val="22"/>
        </w:rPr>
      </w:pPr>
      <w:r w:rsidRPr="00DB645C">
        <w:rPr>
          <w:b/>
          <w:sz w:val="22"/>
          <w:szCs w:val="22"/>
        </w:rPr>
        <w:t xml:space="preserve">Proposal </w:t>
      </w:r>
      <w:r w:rsidR="00845367" w:rsidRPr="00DB645C">
        <w:rPr>
          <w:b/>
          <w:sz w:val="22"/>
          <w:szCs w:val="22"/>
        </w:rPr>
        <w:t>6</w:t>
      </w:r>
      <w:r w:rsidRPr="00DB645C">
        <w:rPr>
          <w:b/>
          <w:sz w:val="22"/>
          <w:szCs w:val="22"/>
        </w:rPr>
        <w:t xml:space="preserve">: </w:t>
      </w:r>
    </w:p>
    <w:p w14:paraId="675DE3E3" w14:textId="41CF6E7C" w:rsidR="006725B5" w:rsidRPr="00DB645C" w:rsidRDefault="006725B5" w:rsidP="006725B5">
      <w:pPr>
        <w:pStyle w:val="a5"/>
        <w:numPr>
          <w:ilvl w:val="0"/>
          <w:numId w:val="4"/>
        </w:numPr>
        <w:jc w:val="both"/>
        <w:rPr>
          <w:rFonts w:ascii="Times New Roman" w:hAnsi="Times New Roman"/>
          <w:b/>
        </w:rPr>
      </w:pPr>
      <w:r w:rsidRPr="00DB645C">
        <w:rPr>
          <w:rFonts w:ascii="Times New Roman" w:hAnsi="Times New Roman"/>
          <w:b/>
        </w:rPr>
        <w:t>Periodicity and time offset in configured sidelink grant should be interpreted as the number of slot/symbols in sidelink resource pool.</w:t>
      </w:r>
    </w:p>
    <w:p w14:paraId="7FFCAE13" w14:textId="4D3E492D" w:rsidR="00587BAD" w:rsidRPr="00DB645C" w:rsidRDefault="00637F6B" w:rsidP="003140AE">
      <w:pPr>
        <w:spacing w:beforeLines="100" w:before="240" w:afterLines="50" w:after="120"/>
        <w:jc w:val="both"/>
        <w:rPr>
          <w:b/>
          <w:sz w:val="22"/>
          <w:szCs w:val="22"/>
          <w:u w:val="single"/>
        </w:rPr>
      </w:pPr>
      <w:r w:rsidRPr="00DB645C">
        <w:rPr>
          <w:rFonts w:hint="eastAsia"/>
          <w:b/>
          <w:sz w:val="22"/>
          <w:szCs w:val="22"/>
          <w:u w:val="single"/>
        </w:rPr>
        <w:t>Dyna</w:t>
      </w:r>
      <w:r w:rsidRPr="00DB645C">
        <w:rPr>
          <w:b/>
          <w:sz w:val="22"/>
          <w:szCs w:val="22"/>
          <w:u w:val="single"/>
        </w:rPr>
        <w:t>mic resource allocation</w:t>
      </w:r>
      <w:r w:rsidR="00B67F01" w:rsidRPr="00DB645C">
        <w:rPr>
          <w:b/>
          <w:sz w:val="22"/>
          <w:szCs w:val="22"/>
          <w:u w:val="single"/>
        </w:rPr>
        <w:t xml:space="preserve"> </w:t>
      </w:r>
    </w:p>
    <w:p w14:paraId="30D8D41B" w14:textId="493B7E16" w:rsidR="00B67F01" w:rsidRPr="00DB645C" w:rsidRDefault="003140AE" w:rsidP="00B67F01">
      <w:pPr>
        <w:jc w:val="both"/>
        <w:rPr>
          <w:sz w:val="22"/>
          <w:szCs w:val="22"/>
        </w:rPr>
      </w:pPr>
      <w:r w:rsidRPr="003140AE">
        <w:rPr>
          <w:sz w:val="22"/>
          <w:szCs w:val="22"/>
        </w:rPr>
        <w:t xml:space="preserve">It was agreed in the last meeting that </w:t>
      </w:r>
      <w:r w:rsidRPr="003140AE">
        <w:rPr>
          <w:sz w:val="22"/>
          <w:szCs w:val="22"/>
        </w:rPr>
        <w:t>dynamic grant by the gNB provides resources for</w:t>
      </w:r>
      <w:r w:rsidRPr="00DB645C">
        <w:rPr>
          <w:rFonts w:ascii="Times" w:eastAsia="Batang" w:hAnsi="Times"/>
          <w:sz w:val="22"/>
          <w:szCs w:val="22"/>
          <w:lang w:val="en-GB" w:eastAsia="ja-JP"/>
        </w:rPr>
        <w:t xml:space="preserve"> transmission of PSCCH and PSSCH</w:t>
      </w:r>
      <w:r w:rsidR="00B67F01" w:rsidRPr="00DB645C">
        <w:rPr>
          <w:sz w:val="22"/>
          <w:szCs w:val="22"/>
        </w:rPr>
        <w:t xml:space="preserve">. Since V2X transmission is typically performed on ITS carrier where there is no gNB deployment, DCI transmitted from Uu carrier to schedule </w:t>
      </w:r>
      <w:r w:rsidR="005A58B7" w:rsidRPr="00DB645C">
        <w:rPr>
          <w:sz w:val="22"/>
          <w:szCs w:val="22"/>
        </w:rPr>
        <w:t>transmissions</w:t>
      </w:r>
      <w:r w:rsidR="00B67F01" w:rsidRPr="00DB645C">
        <w:rPr>
          <w:sz w:val="22"/>
          <w:szCs w:val="22"/>
        </w:rPr>
        <w:t xml:space="preserve"> on the ITS carrier should be supported.</w:t>
      </w:r>
    </w:p>
    <w:p w14:paraId="094DDF63" w14:textId="21552410" w:rsidR="00B67F01" w:rsidRPr="00DB645C" w:rsidRDefault="00B67F01" w:rsidP="003140AE">
      <w:pPr>
        <w:spacing w:beforeLines="100" w:before="240"/>
        <w:jc w:val="both"/>
        <w:rPr>
          <w:b/>
          <w:sz w:val="22"/>
          <w:szCs w:val="22"/>
        </w:rPr>
      </w:pPr>
      <w:r w:rsidRPr="00DB645C">
        <w:rPr>
          <w:b/>
          <w:sz w:val="22"/>
          <w:szCs w:val="22"/>
        </w:rPr>
        <w:t xml:space="preserve">Proposal </w:t>
      </w:r>
      <w:r w:rsidR="00845367" w:rsidRPr="00DB645C">
        <w:rPr>
          <w:b/>
          <w:sz w:val="22"/>
          <w:szCs w:val="22"/>
        </w:rPr>
        <w:t>7</w:t>
      </w:r>
      <w:r w:rsidRPr="00DB645C">
        <w:rPr>
          <w:b/>
          <w:sz w:val="22"/>
          <w:szCs w:val="22"/>
        </w:rPr>
        <w:t xml:space="preserve">: </w:t>
      </w:r>
    </w:p>
    <w:p w14:paraId="0B7F88B3" w14:textId="061B14B7" w:rsidR="00B67F01" w:rsidRPr="00DB645C" w:rsidRDefault="00B67F01" w:rsidP="00B67F01">
      <w:pPr>
        <w:pStyle w:val="a5"/>
        <w:numPr>
          <w:ilvl w:val="0"/>
          <w:numId w:val="4"/>
        </w:numPr>
        <w:jc w:val="both"/>
        <w:rPr>
          <w:rFonts w:ascii="Times New Roman" w:hAnsi="Times New Roman"/>
          <w:b/>
        </w:rPr>
      </w:pPr>
      <w:r w:rsidRPr="00DB645C">
        <w:rPr>
          <w:rFonts w:ascii="Times New Roman" w:hAnsi="Times New Roman"/>
          <w:b/>
        </w:rPr>
        <w:t xml:space="preserve">For </w:t>
      </w:r>
      <w:r w:rsidR="0062510A" w:rsidRPr="00DB645C">
        <w:rPr>
          <w:rFonts w:ascii="Times New Roman" w:hAnsi="Times New Roman"/>
          <w:b/>
        </w:rPr>
        <w:t xml:space="preserve">dynamic </w:t>
      </w:r>
      <w:r w:rsidR="00306DF7" w:rsidRPr="00DB645C">
        <w:rPr>
          <w:rFonts w:ascii="Times New Roman" w:hAnsi="Times New Roman"/>
          <w:b/>
        </w:rPr>
        <w:t xml:space="preserve">sidelink </w:t>
      </w:r>
      <w:r w:rsidR="0062510A" w:rsidRPr="00DB645C">
        <w:rPr>
          <w:rFonts w:ascii="Times New Roman" w:hAnsi="Times New Roman"/>
          <w:b/>
        </w:rPr>
        <w:t>resource allocation</w:t>
      </w:r>
      <w:r w:rsidRPr="00DB645C">
        <w:rPr>
          <w:rFonts w:ascii="Times New Roman" w:hAnsi="Times New Roman"/>
          <w:b/>
        </w:rPr>
        <w:t xml:space="preserve"> by NR Uu, cross-carrier scheduling should be supported.</w:t>
      </w:r>
    </w:p>
    <w:p w14:paraId="5782664A" w14:textId="77777777" w:rsidR="00012620" w:rsidRPr="00DB645C" w:rsidRDefault="00012620" w:rsidP="00012620">
      <w:pPr>
        <w:pStyle w:val="1"/>
        <w:spacing w:after="120"/>
        <w:jc w:val="both"/>
        <w:rPr>
          <w:rFonts w:ascii="Times New Roman" w:hAnsi="Times New Roman" w:cs="Times New Roman"/>
          <w:sz w:val="22"/>
          <w:szCs w:val="22"/>
          <w:lang w:val="en-AU" w:eastAsia="en-AU"/>
        </w:rPr>
      </w:pPr>
      <w:r w:rsidRPr="00DB645C">
        <w:rPr>
          <w:rFonts w:ascii="Times New Roman" w:hAnsi="Times New Roman" w:cs="Times New Roman"/>
          <w:sz w:val="22"/>
          <w:szCs w:val="22"/>
          <w:lang w:val="en-AU" w:eastAsia="en-AU"/>
        </w:rPr>
        <w:t>Conclusion</w:t>
      </w:r>
    </w:p>
    <w:p w14:paraId="72D7FC9B" w14:textId="6E02A0A0" w:rsidR="006A79F4" w:rsidRPr="00DB645C" w:rsidRDefault="000B55E0" w:rsidP="006A79F4">
      <w:pPr>
        <w:jc w:val="both"/>
        <w:rPr>
          <w:sz w:val="22"/>
          <w:szCs w:val="22"/>
        </w:rPr>
      </w:pPr>
      <w:r w:rsidRPr="00DB645C">
        <w:rPr>
          <w:sz w:val="22"/>
          <w:szCs w:val="22"/>
        </w:rPr>
        <w:t>In this contribution</w:t>
      </w:r>
      <w:r w:rsidR="0037617D" w:rsidRPr="00DB645C">
        <w:rPr>
          <w:sz w:val="22"/>
          <w:szCs w:val="22"/>
        </w:rPr>
        <w:t xml:space="preserve">, we </w:t>
      </w:r>
      <w:r w:rsidR="004C3005" w:rsidRPr="00DB645C">
        <w:rPr>
          <w:sz w:val="22"/>
          <w:szCs w:val="22"/>
        </w:rPr>
        <w:t xml:space="preserve">discussed the issues that need to be considered for </w:t>
      </w:r>
      <w:r w:rsidR="00142BD4" w:rsidRPr="00DB645C">
        <w:rPr>
          <w:sz w:val="22"/>
          <w:szCs w:val="22"/>
        </w:rPr>
        <w:t xml:space="preserve">mode 1 </w:t>
      </w:r>
      <w:r w:rsidR="004C3005" w:rsidRPr="00DB645C">
        <w:rPr>
          <w:sz w:val="22"/>
          <w:szCs w:val="22"/>
        </w:rPr>
        <w:t xml:space="preserve">resource allocation </w:t>
      </w:r>
      <w:r w:rsidR="00142BD4" w:rsidRPr="00DB645C">
        <w:rPr>
          <w:sz w:val="22"/>
          <w:szCs w:val="22"/>
        </w:rPr>
        <w:t>for NR sidelink</w:t>
      </w:r>
      <w:r w:rsidR="0037617D" w:rsidRPr="00DB645C">
        <w:rPr>
          <w:sz w:val="22"/>
          <w:szCs w:val="22"/>
        </w:rPr>
        <w:t xml:space="preserve">, </w:t>
      </w:r>
      <w:r w:rsidR="006A79F4" w:rsidRPr="00DB645C">
        <w:rPr>
          <w:sz w:val="22"/>
          <w:szCs w:val="22"/>
        </w:rPr>
        <w:t>we have following proposals:</w:t>
      </w:r>
    </w:p>
    <w:p w14:paraId="7808AC03" w14:textId="77777777" w:rsidR="003140AE" w:rsidRPr="00DB645C" w:rsidRDefault="003140AE" w:rsidP="003140AE">
      <w:pPr>
        <w:spacing w:beforeLines="100" w:before="240"/>
        <w:jc w:val="both"/>
        <w:rPr>
          <w:b/>
          <w:sz w:val="22"/>
          <w:szCs w:val="22"/>
        </w:rPr>
      </w:pPr>
      <w:r w:rsidRPr="00DB645C">
        <w:rPr>
          <w:b/>
          <w:sz w:val="22"/>
          <w:szCs w:val="22"/>
        </w:rPr>
        <w:t xml:space="preserve">Proposal 1: </w:t>
      </w:r>
    </w:p>
    <w:p w14:paraId="7FBBE52C" w14:textId="77777777" w:rsidR="003140AE" w:rsidRPr="00DB645C" w:rsidRDefault="003140AE" w:rsidP="003140AE">
      <w:pPr>
        <w:pStyle w:val="a5"/>
        <w:numPr>
          <w:ilvl w:val="0"/>
          <w:numId w:val="4"/>
        </w:numPr>
        <w:jc w:val="both"/>
        <w:rPr>
          <w:rFonts w:ascii="Times New Roman" w:hAnsi="Times New Roman"/>
          <w:b/>
          <w:i/>
        </w:rPr>
      </w:pPr>
      <w:r w:rsidRPr="00DB645C">
        <w:rPr>
          <w:rFonts w:ascii="Times New Roman" w:hAnsi="Times New Roman"/>
          <w:b/>
        </w:rPr>
        <w:t>HARQ ACK/NACK report from receiver UE to gNB should be supported.</w:t>
      </w:r>
    </w:p>
    <w:p w14:paraId="6653D360" w14:textId="77777777" w:rsidR="003140AE" w:rsidRPr="00DB645C" w:rsidRDefault="003140AE" w:rsidP="003140AE">
      <w:pPr>
        <w:spacing w:beforeLines="100" w:before="240"/>
        <w:jc w:val="both"/>
        <w:rPr>
          <w:b/>
          <w:sz w:val="22"/>
          <w:szCs w:val="22"/>
        </w:rPr>
      </w:pPr>
      <w:r w:rsidRPr="00DB645C">
        <w:rPr>
          <w:b/>
          <w:sz w:val="22"/>
          <w:szCs w:val="22"/>
        </w:rPr>
        <w:t xml:space="preserve">Proposal 2: </w:t>
      </w:r>
    </w:p>
    <w:p w14:paraId="38E0F699"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The time interval between PSFCH and the UL slot for HARQ ACK/NACK report should be indicated in the associated SL DCI.</w:t>
      </w:r>
    </w:p>
    <w:p w14:paraId="29611490" w14:textId="77777777" w:rsidR="003140AE" w:rsidRPr="00DB645C" w:rsidRDefault="003140AE" w:rsidP="003140AE">
      <w:pPr>
        <w:spacing w:beforeLines="100" w:before="240"/>
        <w:jc w:val="both"/>
        <w:rPr>
          <w:b/>
          <w:sz w:val="22"/>
          <w:szCs w:val="22"/>
        </w:rPr>
      </w:pPr>
      <w:r w:rsidRPr="00DB645C">
        <w:rPr>
          <w:b/>
          <w:sz w:val="22"/>
          <w:szCs w:val="22"/>
        </w:rPr>
        <w:t xml:space="preserve">Proposal 3: </w:t>
      </w:r>
    </w:p>
    <w:p w14:paraId="0C5EAF02"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One field in SL DCI should be used to indicate if the SL grant is used for sidelink transmissions for which HARQ ACK/NACK report is enabled, or sidelink transmissions for which HARQ ACK/NACK report is not enabled.</w:t>
      </w:r>
    </w:p>
    <w:p w14:paraId="276C9946" w14:textId="77777777" w:rsidR="003140AE" w:rsidRPr="00DB645C" w:rsidRDefault="003140AE" w:rsidP="003140AE">
      <w:pPr>
        <w:spacing w:beforeLines="100" w:before="240"/>
        <w:jc w:val="both"/>
        <w:rPr>
          <w:b/>
          <w:sz w:val="22"/>
          <w:szCs w:val="22"/>
        </w:rPr>
      </w:pPr>
      <w:r w:rsidRPr="00DB645C">
        <w:rPr>
          <w:b/>
          <w:sz w:val="22"/>
          <w:szCs w:val="22"/>
        </w:rPr>
        <w:lastRenderedPageBreak/>
        <w:t xml:space="preserve">Proposal 4: </w:t>
      </w:r>
    </w:p>
    <w:p w14:paraId="0C40D917"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Criteria for autonomously release of the configured sidelink grant should be specified, and UE should report the release of configured sidelink grant to eNB/gNB.</w:t>
      </w:r>
    </w:p>
    <w:p w14:paraId="2ED505D9" w14:textId="77777777" w:rsidR="003140AE" w:rsidRPr="00DB645C" w:rsidRDefault="003140AE" w:rsidP="003140AE">
      <w:pPr>
        <w:spacing w:beforeLines="100" w:before="240"/>
        <w:jc w:val="both"/>
        <w:rPr>
          <w:b/>
          <w:sz w:val="22"/>
          <w:szCs w:val="22"/>
        </w:rPr>
      </w:pPr>
      <w:r w:rsidRPr="00DB645C">
        <w:rPr>
          <w:b/>
          <w:sz w:val="22"/>
          <w:szCs w:val="22"/>
        </w:rPr>
        <w:t xml:space="preserve">Proposal 5: </w:t>
      </w:r>
    </w:p>
    <w:p w14:paraId="3D4E1C0A"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Multiple configured sidelink grants should be supported in NR V2X.</w:t>
      </w:r>
    </w:p>
    <w:p w14:paraId="78968D09" w14:textId="77777777" w:rsidR="003140AE" w:rsidRPr="00DB645C" w:rsidRDefault="003140AE" w:rsidP="003140AE">
      <w:pPr>
        <w:spacing w:beforeLines="100" w:before="240"/>
        <w:jc w:val="both"/>
        <w:rPr>
          <w:b/>
          <w:sz w:val="22"/>
          <w:szCs w:val="22"/>
        </w:rPr>
      </w:pPr>
      <w:r w:rsidRPr="00DB645C">
        <w:rPr>
          <w:b/>
          <w:sz w:val="22"/>
          <w:szCs w:val="22"/>
        </w:rPr>
        <w:t xml:space="preserve">Proposal 6: </w:t>
      </w:r>
    </w:p>
    <w:p w14:paraId="42AD9791"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Periodicity and time offset in configured sidelink grant should be interpreted as the number of slot/symbols in sidelink resource pool.</w:t>
      </w:r>
    </w:p>
    <w:p w14:paraId="189C74EA" w14:textId="77777777" w:rsidR="003140AE" w:rsidRPr="00DB645C" w:rsidRDefault="003140AE" w:rsidP="003140AE">
      <w:pPr>
        <w:spacing w:beforeLines="100" w:before="240"/>
        <w:jc w:val="both"/>
        <w:rPr>
          <w:b/>
          <w:sz w:val="22"/>
          <w:szCs w:val="22"/>
        </w:rPr>
      </w:pPr>
      <w:r w:rsidRPr="00DB645C">
        <w:rPr>
          <w:b/>
          <w:sz w:val="22"/>
          <w:szCs w:val="22"/>
        </w:rPr>
        <w:t xml:space="preserve">Proposal 7: </w:t>
      </w:r>
    </w:p>
    <w:p w14:paraId="453DE350" w14:textId="77777777" w:rsidR="003140AE" w:rsidRPr="00DB645C" w:rsidRDefault="003140AE" w:rsidP="003140AE">
      <w:pPr>
        <w:pStyle w:val="a5"/>
        <w:numPr>
          <w:ilvl w:val="0"/>
          <w:numId w:val="4"/>
        </w:numPr>
        <w:jc w:val="both"/>
        <w:rPr>
          <w:rFonts w:ascii="Times New Roman" w:hAnsi="Times New Roman"/>
          <w:b/>
        </w:rPr>
      </w:pPr>
      <w:r w:rsidRPr="00DB645C">
        <w:rPr>
          <w:rFonts w:ascii="Times New Roman" w:hAnsi="Times New Roman"/>
          <w:b/>
        </w:rPr>
        <w:t>For dynamic sidelink resource allocation by NR Uu, cross-carrier scheduling should be supported.</w:t>
      </w:r>
    </w:p>
    <w:p w14:paraId="096A970E" w14:textId="355F6F56" w:rsidR="00142CCF" w:rsidRPr="00DB645C" w:rsidRDefault="00012620" w:rsidP="004174FF">
      <w:pPr>
        <w:pStyle w:val="1"/>
        <w:spacing w:after="120"/>
        <w:jc w:val="both"/>
        <w:rPr>
          <w:rFonts w:ascii="Times New Roman" w:hAnsi="Times New Roman" w:cs="Times New Roman"/>
          <w:sz w:val="22"/>
          <w:szCs w:val="22"/>
          <w:lang w:val="en-AU" w:eastAsia="en-AU"/>
        </w:rPr>
      </w:pPr>
      <w:r w:rsidRPr="00DB645C">
        <w:rPr>
          <w:rFonts w:ascii="Times New Roman" w:hAnsi="Times New Roman" w:cs="Times New Roman"/>
          <w:sz w:val="22"/>
          <w:szCs w:val="22"/>
          <w:lang w:val="en-AU" w:eastAsia="en-AU"/>
        </w:rPr>
        <w:t>References</w:t>
      </w:r>
    </w:p>
    <w:p w14:paraId="5D17E6FD" w14:textId="50ABA873" w:rsidR="000A4671" w:rsidRPr="00DB645C" w:rsidRDefault="000A4671" w:rsidP="000A4671">
      <w:pPr>
        <w:pStyle w:val="a5"/>
        <w:numPr>
          <w:ilvl w:val="0"/>
          <w:numId w:val="2"/>
        </w:numPr>
        <w:tabs>
          <w:tab w:val="left" w:pos="567"/>
        </w:tabs>
        <w:ind w:left="567" w:hanging="567"/>
        <w:jc w:val="both"/>
        <w:rPr>
          <w:rFonts w:ascii="Times New Roman" w:hAnsi="Times New Roman"/>
        </w:rPr>
      </w:pPr>
      <w:bookmarkStart w:id="3" w:name="_Ref732689"/>
      <w:r w:rsidRPr="00DB645C">
        <w:rPr>
          <w:rFonts w:ascii="Times New Roman" w:hAnsi="Times New Roman"/>
        </w:rPr>
        <w:t>RP-190766, New WID on 5G V2X with NR sidelink, LG Electronics, Huawei;</w:t>
      </w:r>
      <w:bookmarkEnd w:id="3"/>
    </w:p>
    <w:p w14:paraId="2E8C93FF" w14:textId="20524AB8" w:rsidR="002F40FF" w:rsidRPr="00DB645C" w:rsidRDefault="00300620" w:rsidP="005A52BA">
      <w:pPr>
        <w:pStyle w:val="a5"/>
        <w:numPr>
          <w:ilvl w:val="0"/>
          <w:numId w:val="2"/>
        </w:numPr>
        <w:tabs>
          <w:tab w:val="left" w:pos="567"/>
        </w:tabs>
        <w:ind w:left="-284" w:firstLine="284"/>
        <w:jc w:val="both"/>
        <w:rPr>
          <w:rFonts w:ascii="Times New Roman" w:hAnsi="Times New Roman"/>
        </w:rPr>
      </w:pPr>
      <w:bookmarkStart w:id="4" w:name="_Ref5028497"/>
      <w:r w:rsidRPr="00DB645C">
        <w:rPr>
          <w:rFonts w:ascii="Times New Roman" w:hAnsi="Times New Roman"/>
        </w:rPr>
        <w:t>Chairman's Notes RAN1#9</w:t>
      </w:r>
      <w:r w:rsidR="00327D38" w:rsidRPr="00DB645C">
        <w:rPr>
          <w:rFonts w:ascii="Times New Roman" w:hAnsi="Times New Roman"/>
        </w:rPr>
        <w:t>7</w:t>
      </w:r>
      <w:r w:rsidR="002A7EEA" w:rsidRPr="00DB645C">
        <w:rPr>
          <w:rFonts w:ascii="Times New Roman" w:hAnsi="Times New Roman"/>
        </w:rPr>
        <w:t>;</w:t>
      </w:r>
      <w:bookmarkEnd w:id="4"/>
    </w:p>
    <w:p w14:paraId="4CB70D75" w14:textId="77777777" w:rsidR="00AD5B52" w:rsidRPr="00DB645C" w:rsidRDefault="00AD5B52" w:rsidP="00AD5B52">
      <w:pPr>
        <w:pStyle w:val="a5"/>
        <w:numPr>
          <w:ilvl w:val="0"/>
          <w:numId w:val="2"/>
        </w:numPr>
        <w:tabs>
          <w:tab w:val="left" w:pos="567"/>
        </w:tabs>
        <w:ind w:left="-284" w:firstLine="284"/>
        <w:jc w:val="both"/>
        <w:rPr>
          <w:rFonts w:ascii="Times New Roman" w:hAnsi="Times New Roman"/>
        </w:rPr>
      </w:pPr>
      <w:bookmarkStart w:id="5" w:name="_Ref525032988"/>
      <w:r w:rsidRPr="00DB645C">
        <w:rPr>
          <w:rFonts w:ascii="Times New Roman" w:hAnsi="Times New Roman"/>
        </w:rPr>
        <w:t>Chairman's Notes RAN1 Ad-Hoc Meeting 1901;</w:t>
      </w:r>
      <w:bookmarkEnd w:id="5"/>
    </w:p>
    <w:sectPr w:rsidR="00AD5B52" w:rsidRPr="00DB645C"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6DF85" w14:textId="77777777" w:rsidR="00283894" w:rsidRDefault="00283894" w:rsidP="00537E71">
      <w:r>
        <w:separator/>
      </w:r>
    </w:p>
  </w:endnote>
  <w:endnote w:type="continuationSeparator" w:id="0">
    <w:p w14:paraId="0AD68A09" w14:textId="77777777" w:rsidR="00283894" w:rsidRDefault="00283894"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EECB456" w:rsidR="00043E66" w:rsidRPr="00537E71" w:rsidRDefault="00043E66"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E3220C">
          <w:rPr>
            <w:noProof/>
            <w:sz w:val="20"/>
            <w:szCs w:val="20"/>
          </w:rPr>
          <w:t>4</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E3220C">
          <w:rPr>
            <w:noProof/>
            <w:sz w:val="20"/>
            <w:szCs w:val="20"/>
          </w:rPr>
          <w:t>4</w:t>
        </w:r>
        <w:r>
          <w:rPr>
            <w:sz w:val="20"/>
            <w:szCs w:val="20"/>
          </w:rPr>
          <w:fldChar w:fldCharType="end"/>
        </w:r>
      </w:p>
    </w:sdtContent>
  </w:sdt>
  <w:p w14:paraId="26309CDB" w14:textId="77777777" w:rsidR="00043E66" w:rsidRDefault="00043E6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491EA" w14:textId="77777777" w:rsidR="00283894" w:rsidRDefault="00283894" w:rsidP="00537E71">
      <w:r>
        <w:separator/>
      </w:r>
    </w:p>
  </w:footnote>
  <w:footnote w:type="continuationSeparator" w:id="0">
    <w:p w14:paraId="103FED0E" w14:textId="77777777" w:rsidR="00283894" w:rsidRDefault="00283894"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3570B"/>
    <w:multiLevelType w:val="hybridMultilevel"/>
    <w:tmpl w:val="55B6C114"/>
    <w:lvl w:ilvl="0" w:tplc="64A20A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7"/>
  </w:num>
  <w:num w:numId="5">
    <w:abstractNumId w:val="10"/>
  </w:num>
  <w:num w:numId="6">
    <w:abstractNumId w:val="15"/>
  </w:num>
  <w:num w:numId="7">
    <w:abstractNumId w:val="17"/>
  </w:num>
  <w:num w:numId="8">
    <w:abstractNumId w:val="4"/>
  </w:num>
  <w:num w:numId="9">
    <w:abstractNumId w:val="11"/>
  </w:num>
  <w:num w:numId="10">
    <w:abstractNumId w:val="14"/>
  </w:num>
  <w:num w:numId="11">
    <w:abstractNumId w:val="1"/>
  </w:num>
  <w:num w:numId="12">
    <w:abstractNumId w:val="12"/>
  </w:num>
  <w:num w:numId="13">
    <w:abstractNumId w:val="2"/>
  </w:num>
  <w:num w:numId="14">
    <w:abstractNumId w:val="8"/>
  </w:num>
  <w:num w:numId="15">
    <w:abstractNumId w:val="13"/>
  </w:num>
  <w:num w:numId="16">
    <w:abstractNumId w:val="11"/>
  </w:num>
  <w:num w:numId="17">
    <w:abstractNumId w:val="5"/>
  </w:num>
  <w:num w:numId="18">
    <w:abstractNumId w:val="19"/>
  </w:num>
  <w:num w:numId="19">
    <w:abstractNumId w:val="18"/>
  </w:num>
  <w:num w:numId="20">
    <w:abstractNumId w:val="20"/>
  </w:num>
  <w:num w:numId="21">
    <w:abstractNumId w:val="6"/>
  </w:num>
  <w:num w:numId="22">
    <w:abstractNumId w:val="21"/>
  </w:num>
  <w:num w:numId="23">
    <w:abstractNumId w:val="16"/>
  </w:num>
  <w:num w:numId="2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3E66"/>
    <w:rsid w:val="00044C54"/>
    <w:rsid w:val="00045E57"/>
    <w:rsid w:val="00047038"/>
    <w:rsid w:val="000470F0"/>
    <w:rsid w:val="000479BC"/>
    <w:rsid w:val="00047FEE"/>
    <w:rsid w:val="00053F94"/>
    <w:rsid w:val="0005519F"/>
    <w:rsid w:val="00056936"/>
    <w:rsid w:val="00056F51"/>
    <w:rsid w:val="000572A3"/>
    <w:rsid w:val="00063CBD"/>
    <w:rsid w:val="00063E4B"/>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0E3F"/>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5B16"/>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034E"/>
    <w:rsid w:val="00134258"/>
    <w:rsid w:val="00135377"/>
    <w:rsid w:val="00135EEF"/>
    <w:rsid w:val="00136892"/>
    <w:rsid w:val="00136991"/>
    <w:rsid w:val="00141046"/>
    <w:rsid w:val="00142745"/>
    <w:rsid w:val="00142BD4"/>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2052"/>
    <w:rsid w:val="001734CE"/>
    <w:rsid w:val="0017426E"/>
    <w:rsid w:val="00174A0E"/>
    <w:rsid w:val="001753C2"/>
    <w:rsid w:val="001758DE"/>
    <w:rsid w:val="0017727B"/>
    <w:rsid w:val="00180D2A"/>
    <w:rsid w:val="001816F6"/>
    <w:rsid w:val="00183A18"/>
    <w:rsid w:val="00185BF0"/>
    <w:rsid w:val="001866C5"/>
    <w:rsid w:val="001868D3"/>
    <w:rsid w:val="00190220"/>
    <w:rsid w:val="00190889"/>
    <w:rsid w:val="00190B38"/>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C6FB7"/>
    <w:rsid w:val="001D0009"/>
    <w:rsid w:val="001D0EA3"/>
    <w:rsid w:val="001D1175"/>
    <w:rsid w:val="001D260D"/>
    <w:rsid w:val="001D2783"/>
    <w:rsid w:val="001D7B9C"/>
    <w:rsid w:val="001E02F6"/>
    <w:rsid w:val="001E0797"/>
    <w:rsid w:val="001E28D5"/>
    <w:rsid w:val="001E317E"/>
    <w:rsid w:val="001E3561"/>
    <w:rsid w:val="001E6823"/>
    <w:rsid w:val="001E6D90"/>
    <w:rsid w:val="001F1DFA"/>
    <w:rsid w:val="001F347D"/>
    <w:rsid w:val="001F429A"/>
    <w:rsid w:val="001F57B5"/>
    <w:rsid w:val="001F6BEC"/>
    <w:rsid w:val="001F7A00"/>
    <w:rsid w:val="002007EE"/>
    <w:rsid w:val="0020163B"/>
    <w:rsid w:val="002017E8"/>
    <w:rsid w:val="002018D3"/>
    <w:rsid w:val="00201B2C"/>
    <w:rsid w:val="002025CD"/>
    <w:rsid w:val="00203B9F"/>
    <w:rsid w:val="00204880"/>
    <w:rsid w:val="00206412"/>
    <w:rsid w:val="0020661B"/>
    <w:rsid w:val="0020681C"/>
    <w:rsid w:val="002101C5"/>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0B85"/>
    <w:rsid w:val="002810AD"/>
    <w:rsid w:val="00281300"/>
    <w:rsid w:val="00283894"/>
    <w:rsid w:val="00284C54"/>
    <w:rsid w:val="00286584"/>
    <w:rsid w:val="00287322"/>
    <w:rsid w:val="002919C9"/>
    <w:rsid w:val="00292611"/>
    <w:rsid w:val="00293DB4"/>
    <w:rsid w:val="00295972"/>
    <w:rsid w:val="00295D9A"/>
    <w:rsid w:val="002978F6"/>
    <w:rsid w:val="002A029F"/>
    <w:rsid w:val="002A0659"/>
    <w:rsid w:val="002A237A"/>
    <w:rsid w:val="002A27EE"/>
    <w:rsid w:val="002A42C1"/>
    <w:rsid w:val="002A6657"/>
    <w:rsid w:val="002A6A6E"/>
    <w:rsid w:val="002A701F"/>
    <w:rsid w:val="002A7EEA"/>
    <w:rsid w:val="002B01E6"/>
    <w:rsid w:val="002B025C"/>
    <w:rsid w:val="002B2ABC"/>
    <w:rsid w:val="002B2C43"/>
    <w:rsid w:val="002B3348"/>
    <w:rsid w:val="002B4AE4"/>
    <w:rsid w:val="002C2981"/>
    <w:rsid w:val="002C3771"/>
    <w:rsid w:val="002C5BEE"/>
    <w:rsid w:val="002C6D89"/>
    <w:rsid w:val="002C7586"/>
    <w:rsid w:val="002C76AC"/>
    <w:rsid w:val="002D27BE"/>
    <w:rsid w:val="002D315A"/>
    <w:rsid w:val="002D4492"/>
    <w:rsid w:val="002D6D39"/>
    <w:rsid w:val="002E3140"/>
    <w:rsid w:val="002E4B09"/>
    <w:rsid w:val="002E7279"/>
    <w:rsid w:val="002F1AD9"/>
    <w:rsid w:val="002F40FF"/>
    <w:rsid w:val="002F419F"/>
    <w:rsid w:val="002F4683"/>
    <w:rsid w:val="002F52E8"/>
    <w:rsid w:val="002F5A67"/>
    <w:rsid w:val="002F64DB"/>
    <w:rsid w:val="002F6771"/>
    <w:rsid w:val="002F7C28"/>
    <w:rsid w:val="00300111"/>
    <w:rsid w:val="00300620"/>
    <w:rsid w:val="00302370"/>
    <w:rsid w:val="0030327A"/>
    <w:rsid w:val="00303B06"/>
    <w:rsid w:val="00306DF7"/>
    <w:rsid w:val="00310331"/>
    <w:rsid w:val="0031251D"/>
    <w:rsid w:val="00312581"/>
    <w:rsid w:val="003140AE"/>
    <w:rsid w:val="0031414C"/>
    <w:rsid w:val="0031576F"/>
    <w:rsid w:val="00316564"/>
    <w:rsid w:val="00316A59"/>
    <w:rsid w:val="00320166"/>
    <w:rsid w:val="003227B1"/>
    <w:rsid w:val="003227CE"/>
    <w:rsid w:val="00324928"/>
    <w:rsid w:val="003250D8"/>
    <w:rsid w:val="00326754"/>
    <w:rsid w:val="00327AA1"/>
    <w:rsid w:val="00327D38"/>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0E8C"/>
    <w:rsid w:val="0034210A"/>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6F1E"/>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63B2"/>
    <w:rsid w:val="003E7B3E"/>
    <w:rsid w:val="003F21AD"/>
    <w:rsid w:val="003F4055"/>
    <w:rsid w:val="003F603C"/>
    <w:rsid w:val="003F61BE"/>
    <w:rsid w:val="003F62B7"/>
    <w:rsid w:val="00403D55"/>
    <w:rsid w:val="004044BE"/>
    <w:rsid w:val="00404701"/>
    <w:rsid w:val="00405143"/>
    <w:rsid w:val="00405F29"/>
    <w:rsid w:val="00407C53"/>
    <w:rsid w:val="004101CA"/>
    <w:rsid w:val="004107C3"/>
    <w:rsid w:val="00411516"/>
    <w:rsid w:val="004117D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DDE"/>
    <w:rsid w:val="004333A5"/>
    <w:rsid w:val="00440243"/>
    <w:rsid w:val="004452EF"/>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56"/>
    <w:rsid w:val="00495CC7"/>
    <w:rsid w:val="00496416"/>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47"/>
    <w:rsid w:val="004D2AB8"/>
    <w:rsid w:val="004D4785"/>
    <w:rsid w:val="004D52E8"/>
    <w:rsid w:val="004D6B52"/>
    <w:rsid w:val="004E03D2"/>
    <w:rsid w:val="004E17D6"/>
    <w:rsid w:val="004E297D"/>
    <w:rsid w:val="004E3F18"/>
    <w:rsid w:val="004E5423"/>
    <w:rsid w:val="004E7831"/>
    <w:rsid w:val="004F0930"/>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28F5"/>
    <w:rsid w:val="0053338F"/>
    <w:rsid w:val="005339BB"/>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0359"/>
    <w:rsid w:val="00587632"/>
    <w:rsid w:val="00587BAD"/>
    <w:rsid w:val="005903BF"/>
    <w:rsid w:val="005953E6"/>
    <w:rsid w:val="005A222E"/>
    <w:rsid w:val="005A3645"/>
    <w:rsid w:val="005A52BA"/>
    <w:rsid w:val="005A52CD"/>
    <w:rsid w:val="005A58B7"/>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FA9"/>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5BB"/>
    <w:rsid w:val="00612CE5"/>
    <w:rsid w:val="0061472F"/>
    <w:rsid w:val="00614770"/>
    <w:rsid w:val="00614845"/>
    <w:rsid w:val="006170F2"/>
    <w:rsid w:val="00617132"/>
    <w:rsid w:val="00617787"/>
    <w:rsid w:val="00624497"/>
    <w:rsid w:val="0062510A"/>
    <w:rsid w:val="00626859"/>
    <w:rsid w:val="00630192"/>
    <w:rsid w:val="006320A2"/>
    <w:rsid w:val="00632F19"/>
    <w:rsid w:val="00637F6B"/>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5B5"/>
    <w:rsid w:val="006729C7"/>
    <w:rsid w:val="00674214"/>
    <w:rsid w:val="0067477F"/>
    <w:rsid w:val="0067725C"/>
    <w:rsid w:val="00677E0C"/>
    <w:rsid w:val="00681A4C"/>
    <w:rsid w:val="00681DEE"/>
    <w:rsid w:val="00681EE4"/>
    <w:rsid w:val="00684D17"/>
    <w:rsid w:val="00685062"/>
    <w:rsid w:val="0068569F"/>
    <w:rsid w:val="00685FDD"/>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C50"/>
    <w:rsid w:val="00746D20"/>
    <w:rsid w:val="00746D93"/>
    <w:rsid w:val="00747EB6"/>
    <w:rsid w:val="0075093F"/>
    <w:rsid w:val="00751AB9"/>
    <w:rsid w:val="00752163"/>
    <w:rsid w:val="00756928"/>
    <w:rsid w:val="00763E34"/>
    <w:rsid w:val="00764214"/>
    <w:rsid w:val="00764449"/>
    <w:rsid w:val="007702C9"/>
    <w:rsid w:val="00771756"/>
    <w:rsid w:val="0077483C"/>
    <w:rsid w:val="00774C36"/>
    <w:rsid w:val="00775570"/>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20F8"/>
    <w:rsid w:val="007B3CBD"/>
    <w:rsid w:val="007B40CC"/>
    <w:rsid w:val="007B703A"/>
    <w:rsid w:val="007C042F"/>
    <w:rsid w:val="007C33A9"/>
    <w:rsid w:val="007C3F08"/>
    <w:rsid w:val="007C40C7"/>
    <w:rsid w:val="007C6FDC"/>
    <w:rsid w:val="007C72D9"/>
    <w:rsid w:val="007D0669"/>
    <w:rsid w:val="007D1EB3"/>
    <w:rsid w:val="007D2ABB"/>
    <w:rsid w:val="007D539F"/>
    <w:rsid w:val="007E0202"/>
    <w:rsid w:val="007E03EA"/>
    <w:rsid w:val="007E0B13"/>
    <w:rsid w:val="007E13D1"/>
    <w:rsid w:val="007E26BC"/>
    <w:rsid w:val="007E3CD2"/>
    <w:rsid w:val="007E5D1A"/>
    <w:rsid w:val="007E6F22"/>
    <w:rsid w:val="007F0BAA"/>
    <w:rsid w:val="007F2FD5"/>
    <w:rsid w:val="007F45AC"/>
    <w:rsid w:val="007F4A0A"/>
    <w:rsid w:val="007F5949"/>
    <w:rsid w:val="007F7AD4"/>
    <w:rsid w:val="00800181"/>
    <w:rsid w:val="00801301"/>
    <w:rsid w:val="00801B3F"/>
    <w:rsid w:val="0080279B"/>
    <w:rsid w:val="008029A3"/>
    <w:rsid w:val="00803AAE"/>
    <w:rsid w:val="008118F4"/>
    <w:rsid w:val="008121F3"/>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367"/>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2B12"/>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2C10"/>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52F3"/>
    <w:rsid w:val="008D6519"/>
    <w:rsid w:val="008E0E66"/>
    <w:rsid w:val="008E2AC5"/>
    <w:rsid w:val="008E47CB"/>
    <w:rsid w:val="008E589C"/>
    <w:rsid w:val="008E5D15"/>
    <w:rsid w:val="008F07EB"/>
    <w:rsid w:val="008F1875"/>
    <w:rsid w:val="008F385D"/>
    <w:rsid w:val="008F6115"/>
    <w:rsid w:val="008F6229"/>
    <w:rsid w:val="008F67AD"/>
    <w:rsid w:val="008F6C07"/>
    <w:rsid w:val="009007B2"/>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3098"/>
    <w:rsid w:val="00934ABF"/>
    <w:rsid w:val="00934F73"/>
    <w:rsid w:val="0093647D"/>
    <w:rsid w:val="00937414"/>
    <w:rsid w:val="0093799E"/>
    <w:rsid w:val="00937DE3"/>
    <w:rsid w:val="00941E32"/>
    <w:rsid w:val="00944321"/>
    <w:rsid w:val="0094473D"/>
    <w:rsid w:val="009454DD"/>
    <w:rsid w:val="00946724"/>
    <w:rsid w:val="00946FDD"/>
    <w:rsid w:val="00951240"/>
    <w:rsid w:val="009516BB"/>
    <w:rsid w:val="00951C5A"/>
    <w:rsid w:val="00952304"/>
    <w:rsid w:val="00952AD9"/>
    <w:rsid w:val="009534C2"/>
    <w:rsid w:val="0095549A"/>
    <w:rsid w:val="00956352"/>
    <w:rsid w:val="009573DF"/>
    <w:rsid w:val="00961D17"/>
    <w:rsid w:val="0096234D"/>
    <w:rsid w:val="0096315A"/>
    <w:rsid w:val="00964448"/>
    <w:rsid w:val="009668DF"/>
    <w:rsid w:val="0096755B"/>
    <w:rsid w:val="00971CD8"/>
    <w:rsid w:val="00971CF9"/>
    <w:rsid w:val="00976EBF"/>
    <w:rsid w:val="00980C66"/>
    <w:rsid w:val="0098537E"/>
    <w:rsid w:val="00985E3A"/>
    <w:rsid w:val="009917F6"/>
    <w:rsid w:val="00991FA3"/>
    <w:rsid w:val="00992B14"/>
    <w:rsid w:val="00992C36"/>
    <w:rsid w:val="00995D3E"/>
    <w:rsid w:val="00995E13"/>
    <w:rsid w:val="009966D8"/>
    <w:rsid w:val="00997E52"/>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4F5B"/>
    <w:rsid w:val="009F7477"/>
    <w:rsid w:val="00A000A0"/>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11C9"/>
    <w:rsid w:val="00A643B4"/>
    <w:rsid w:val="00A65BF5"/>
    <w:rsid w:val="00A67D7C"/>
    <w:rsid w:val="00A71D14"/>
    <w:rsid w:val="00A71EB5"/>
    <w:rsid w:val="00A73F35"/>
    <w:rsid w:val="00A74A16"/>
    <w:rsid w:val="00A759E5"/>
    <w:rsid w:val="00A76A8B"/>
    <w:rsid w:val="00A777BB"/>
    <w:rsid w:val="00A77FA8"/>
    <w:rsid w:val="00A80A9F"/>
    <w:rsid w:val="00A81142"/>
    <w:rsid w:val="00A819D9"/>
    <w:rsid w:val="00A823CC"/>
    <w:rsid w:val="00A842AC"/>
    <w:rsid w:val="00A85BCB"/>
    <w:rsid w:val="00A85E02"/>
    <w:rsid w:val="00A86361"/>
    <w:rsid w:val="00A86D4A"/>
    <w:rsid w:val="00A90CBE"/>
    <w:rsid w:val="00A9108E"/>
    <w:rsid w:val="00A922DD"/>
    <w:rsid w:val="00A92653"/>
    <w:rsid w:val="00A9292D"/>
    <w:rsid w:val="00A92D30"/>
    <w:rsid w:val="00A94CE6"/>
    <w:rsid w:val="00A954D5"/>
    <w:rsid w:val="00AA147A"/>
    <w:rsid w:val="00AA3E22"/>
    <w:rsid w:val="00AA4A5D"/>
    <w:rsid w:val="00AA4D0B"/>
    <w:rsid w:val="00AA7085"/>
    <w:rsid w:val="00AA74A7"/>
    <w:rsid w:val="00AA7E0B"/>
    <w:rsid w:val="00AB1A62"/>
    <w:rsid w:val="00AB4991"/>
    <w:rsid w:val="00AB622D"/>
    <w:rsid w:val="00AB7183"/>
    <w:rsid w:val="00AB7E56"/>
    <w:rsid w:val="00AB7FA7"/>
    <w:rsid w:val="00AC0F1E"/>
    <w:rsid w:val="00AC1D59"/>
    <w:rsid w:val="00AD058C"/>
    <w:rsid w:val="00AD079C"/>
    <w:rsid w:val="00AD5B52"/>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AA2"/>
    <w:rsid w:val="00B05C63"/>
    <w:rsid w:val="00B06E17"/>
    <w:rsid w:val="00B06F98"/>
    <w:rsid w:val="00B074B6"/>
    <w:rsid w:val="00B22102"/>
    <w:rsid w:val="00B22968"/>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3D8"/>
    <w:rsid w:val="00B648D7"/>
    <w:rsid w:val="00B65BF7"/>
    <w:rsid w:val="00B665B8"/>
    <w:rsid w:val="00B67F01"/>
    <w:rsid w:val="00B7131C"/>
    <w:rsid w:val="00B71B97"/>
    <w:rsid w:val="00B732C2"/>
    <w:rsid w:val="00B7334B"/>
    <w:rsid w:val="00B74323"/>
    <w:rsid w:val="00B74687"/>
    <w:rsid w:val="00B75839"/>
    <w:rsid w:val="00B76241"/>
    <w:rsid w:val="00B770E4"/>
    <w:rsid w:val="00B77B28"/>
    <w:rsid w:val="00B806C2"/>
    <w:rsid w:val="00B80CED"/>
    <w:rsid w:val="00B81996"/>
    <w:rsid w:val="00B85107"/>
    <w:rsid w:val="00B87325"/>
    <w:rsid w:val="00B87782"/>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5F0"/>
    <w:rsid w:val="00BD09AA"/>
    <w:rsid w:val="00BD28E8"/>
    <w:rsid w:val="00BD51B2"/>
    <w:rsid w:val="00BD79EE"/>
    <w:rsid w:val="00BE04DF"/>
    <w:rsid w:val="00BE062D"/>
    <w:rsid w:val="00BE0B42"/>
    <w:rsid w:val="00BE0E1D"/>
    <w:rsid w:val="00BE1F8A"/>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62E9"/>
    <w:rsid w:val="00C570E6"/>
    <w:rsid w:val="00C57C2E"/>
    <w:rsid w:val="00C60FE9"/>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049D"/>
    <w:rsid w:val="00C914C4"/>
    <w:rsid w:val="00C94DEE"/>
    <w:rsid w:val="00C9654F"/>
    <w:rsid w:val="00C977E6"/>
    <w:rsid w:val="00CA01A9"/>
    <w:rsid w:val="00CA01BF"/>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3416"/>
    <w:rsid w:val="00CD37E5"/>
    <w:rsid w:val="00CE1398"/>
    <w:rsid w:val="00CE3CF6"/>
    <w:rsid w:val="00CE4079"/>
    <w:rsid w:val="00CE4349"/>
    <w:rsid w:val="00CE4549"/>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3BF4"/>
    <w:rsid w:val="00D141F1"/>
    <w:rsid w:val="00D14FB6"/>
    <w:rsid w:val="00D15440"/>
    <w:rsid w:val="00D1755E"/>
    <w:rsid w:val="00D21889"/>
    <w:rsid w:val="00D22591"/>
    <w:rsid w:val="00D227C5"/>
    <w:rsid w:val="00D22B4D"/>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3E97"/>
    <w:rsid w:val="00D849B2"/>
    <w:rsid w:val="00D907BA"/>
    <w:rsid w:val="00D92750"/>
    <w:rsid w:val="00D961DF"/>
    <w:rsid w:val="00DA1493"/>
    <w:rsid w:val="00DA2E1E"/>
    <w:rsid w:val="00DA5423"/>
    <w:rsid w:val="00DA5E2B"/>
    <w:rsid w:val="00DA5FFA"/>
    <w:rsid w:val="00DB1C87"/>
    <w:rsid w:val="00DB2C8E"/>
    <w:rsid w:val="00DB3C65"/>
    <w:rsid w:val="00DB6140"/>
    <w:rsid w:val="00DB645C"/>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068D"/>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4B5"/>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220C"/>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21C"/>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6E17"/>
    <w:rsid w:val="00EA7B03"/>
    <w:rsid w:val="00EB20A0"/>
    <w:rsid w:val="00EB3036"/>
    <w:rsid w:val="00EB4417"/>
    <w:rsid w:val="00EB44C6"/>
    <w:rsid w:val="00EB6397"/>
    <w:rsid w:val="00EB7FF7"/>
    <w:rsid w:val="00EC6E24"/>
    <w:rsid w:val="00ED0627"/>
    <w:rsid w:val="00ED64BA"/>
    <w:rsid w:val="00ED6C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2EBF"/>
    <w:rsid w:val="00F13A79"/>
    <w:rsid w:val="00F14F74"/>
    <w:rsid w:val="00F15634"/>
    <w:rsid w:val="00F17E49"/>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20F5"/>
    <w:rsid w:val="00F96592"/>
    <w:rsid w:val="00FA46B4"/>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3B415-0D63-43D0-8C38-29B9FC81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4</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24</cp:revision>
  <cp:lastPrinted>2016-09-16T03:38:00Z</cp:lastPrinted>
  <dcterms:created xsi:type="dcterms:W3CDTF">2019-08-13T07:23:00Z</dcterms:created>
  <dcterms:modified xsi:type="dcterms:W3CDTF">2019-08-16T02:29:00Z</dcterms:modified>
</cp:coreProperties>
</file>